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C20F3">
      <w:pPr>
        <w:tabs>
          <w:tab w:val="left" w:pos="1446"/>
        </w:tabs>
        <w:overflowPunct w:val="0"/>
        <w:spacing w:line="360" w:lineRule="auto"/>
        <w:ind w:left="540" w:hanging="539" w:hangingChars="257"/>
        <w:rPr>
          <w:rFonts w:ascii="宋体" w:hAnsi="宋体" w:cs="宋体"/>
        </w:rPr>
      </w:pPr>
      <w:r>
        <w:rPr>
          <w:rFonts w:hint="eastAsia" w:ascii="宋体" w:hAnsi="宋体" w:cs="宋体"/>
        </w:rPr>
        <w:tab/>
      </w:r>
    </w:p>
    <w:p w14:paraId="100C20F4">
      <w:pPr>
        <w:snapToGrid w:val="0"/>
        <w:spacing w:line="360" w:lineRule="auto"/>
        <w:jc w:val="center"/>
        <w:rPr>
          <w:rFonts w:hint="eastAsia" w:ascii="宋体" w:hAnsi="宋体" w:eastAsia="宋体" w:cs="宋体"/>
          <w:b/>
          <w:bCs/>
          <w:sz w:val="48"/>
          <w:szCs w:val="48"/>
          <w:lang w:val="en-US" w:eastAsia="zh-CN"/>
        </w:rPr>
      </w:pPr>
      <w:bookmarkStart w:id="0" w:name="_Toc182849073"/>
      <w:r>
        <w:rPr>
          <w:rFonts w:hint="eastAsia" w:ascii="宋体" w:hAnsi="宋体" w:cs="宋体"/>
          <w:b/>
          <w:bCs/>
          <w:sz w:val="48"/>
          <w:szCs w:val="48"/>
          <w:lang w:eastAsia="zh-CN"/>
        </w:rPr>
        <w:t>南通师范高等专科学校开发区校区大宗食材采购</w:t>
      </w:r>
      <w:r>
        <w:rPr>
          <w:rFonts w:hint="eastAsia" w:ascii="宋体" w:hAnsi="宋体" w:cs="宋体"/>
          <w:b/>
          <w:bCs/>
          <w:sz w:val="48"/>
          <w:szCs w:val="48"/>
        </w:rPr>
        <w:t>项目</w:t>
      </w:r>
      <w:r>
        <w:rPr>
          <w:rFonts w:hint="eastAsia" w:ascii="宋体" w:hAnsi="宋体" w:cs="宋体"/>
          <w:b/>
          <w:bCs/>
          <w:sz w:val="48"/>
          <w:szCs w:val="48"/>
          <w:lang w:eastAsia="zh-CN"/>
        </w:rPr>
        <w:t>（</w:t>
      </w:r>
      <w:r>
        <w:rPr>
          <w:rFonts w:hint="eastAsia" w:ascii="宋体" w:hAnsi="宋体" w:cs="宋体"/>
          <w:b/>
          <w:bCs/>
          <w:sz w:val="48"/>
          <w:szCs w:val="48"/>
          <w:lang w:val="en-US" w:eastAsia="zh-CN"/>
        </w:rPr>
        <w:t>二次</w:t>
      </w:r>
      <w:r>
        <w:rPr>
          <w:rFonts w:hint="eastAsia" w:ascii="宋体" w:hAnsi="宋体" w:cs="宋体"/>
          <w:b/>
          <w:bCs/>
          <w:sz w:val="48"/>
          <w:szCs w:val="48"/>
          <w:lang w:eastAsia="zh-CN"/>
        </w:rPr>
        <w:t>）</w:t>
      </w:r>
    </w:p>
    <w:p w14:paraId="100C20F5">
      <w:pPr>
        <w:snapToGrid w:val="0"/>
        <w:spacing w:line="360" w:lineRule="auto"/>
        <w:rPr>
          <w:rFonts w:ascii="宋体" w:hAnsi="宋体" w:cs="宋体"/>
          <w:b/>
          <w:bCs/>
          <w:sz w:val="36"/>
          <w:szCs w:val="36"/>
        </w:rPr>
      </w:pPr>
    </w:p>
    <w:p w14:paraId="100C20F6">
      <w:pPr>
        <w:snapToGrid w:val="0"/>
        <w:spacing w:line="360" w:lineRule="auto"/>
        <w:rPr>
          <w:rFonts w:ascii="宋体" w:hAnsi="宋体" w:cs="宋体"/>
          <w:b/>
          <w:bCs/>
          <w:sz w:val="36"/>
          <w:szCs w:val="36"/>
        </w:rPr>
      </w:pPr>
    </w:p>
    <w:p w14:paraId="100C20F7">
      <w:pPr>
        <w:snapToGrid w:val="0"/>
        <w:spacing w:line="360" w:lineRule="auto"/>
        <w:rPr>
          <w:rFonts w:ascii="宋体" w:hAnsi="宋体" w:cs="宋体"/>
          <w:b/>
          <w:bCs/>
          <w:sz w:val="36"/>
          <w:szCs w:val="36"/>
        </w:rPr>
      </w:pPr>
    </w:p>
    <w:p w14:paraId="100C20F8">
      <w:pPr>
        <w:snapToGrid w:val="0"/>
        <w:spacing w:line="360" w:lineRule="auto"/>
        <w:jc w:val="center"/>
        <w:rPr>
          <w:rFonts w:ascii="宋体" w:hAnsi="宋体" w:cs="宋体"/>
          <w:b/>
          <w:bCs/>
          <w:sz w:val="44"/>
          <w:szCs w:val="44"/>
        </w:rPr>
      </w:pPr>
      <w:r>
        <w:rPr>
          <w:rFonts w:hint="eastAsia" w:ascii="宋体" w:hAnsi="宋体" w:cs="宋体"/>
          <w:b/>
          <w:bCs/>
          <w:sz w:val="112"/>
          <w:szCs w:val="112"/>
          <w:lang w:val="en-US" w:eastAsia="zh-CN"/>
        </w:rPr>
        <w:t>公开</w:t>
      </w:r>
      <w:r>
        <w:rPr>
          <w:rFonts w:hint="eastAsia" w:ascii="宋体" w:hAnsi="宋体" w:cs="宋体"/>
          <w:b/>
          <w:bCs/>
          <w:sz w:val="112"/>
          <w:szCs w:val="112"/>
        </w:rPr>
        <w:t>招标文件</w:t>
      </w:r>
    </w:p>
    <w:p w14:paraId="100C20F9">
      <w:pPr>
        <w:widowControl/>
        <w:jc w:val="center"/>
        <w:rPr>
          <w:rFonts w:hint="eastAsia" w:ascii="宋体" w:hAnsi="宋体" w:cs="宋体"/>
          <w:b/>
          <w:bCs/>
          <w:sz w:val="32"/>
          <w:szCs w:val="32"/>
        </w:rPr>
      </w:pPr>
      <w:r>
        <w:rPr>
          <w:rFonts w:hint="eastAsia" w:ascii="宋体" w:hAnsi="宋体" w:cs="宋体"/>
          <w:b/>
          <w:bCs/>
          <w:sz w:val="32"/>
          <w:szCs w:val="32"/>
        </w:rPr>
        <w:t>项目编号：TSGZCG2026</w:t>
      </w:r>
      <w:r>
        <w:rPr>
          <w:rFonts w:hint="eastAsia" w:ascii="宋体" w:hAnsi="宋体" w:cs="宋体"/>
          <w:b/>
          <w:bCs/>
          <w:sz w:val="32"/>
          <w:szCs w:val="32"/>
          <w:lang w:val="en-US" w:eastAsia="zh-CN"/>
        </w:rPr>
        <w:t>019</w:t>
      </w:r>
    </w:p>
    <w:p w14:paraId="100C20FA">
      <w:pPr>
        <w:pStyle w:val="20"/>
        <w:rPr>
          <w:rFonts w:ascii="宋体" w:hAnsi="宋体" w:cs="宋体"/>
          <w:b/>
          <w:bCs/>
          <w:sz w:val="36"/>
          <w:szCs w:val="36"/>
        </w:rPr>
      </w:pPr>
    </w:p>
    <w:p w14:paraId="100C20FB">
      <w:pPr>
        <w:pStyle w:val="22"/>
        <w:rPr>
          <w:rFonts w:ascii="宋体" w:hAnsi="宋体" w:cs="宋体"/>
        </w:rPr>
      </w:pPr>
    </w:p>
    <w:p w14:paraId="100C20FC">
      <w:pPr>
        <w:rPr>
          <w:rFonts w:ascii="宋体" w:hAnsi="宋体" w:cs="宋体"/>
        </w:rPr>
      </w:pPr>
    </w:p>
    <w:p w14:paraId="100C20FD">
      <w:pPr>
        <w:rPr>
          <w:rFonts w:ascii="宋体" w:hAnsi="宋体" w:cs="宋体"/>
        </w:rPr>
      </w:pPr>
    </w:p>
    <w:p w14:paraId="100C20FE">
      <w:pPr>
        <w:snapToGrid w:val="0"/>
        <w:spacing w:line="360" w:lineRule="auto"/>
        <w:rPr>
          <w:rFonts w:ascii="宋体" w:hAnsi="宋体" w:cs="宋体"/>
          <w:b/>
          <w:bCs/>
          <w:sz w:val="36"/>
          <w:szCs w:val="36"/>
        </w:rPr>
      </w:pPr>
    </w:p>
    <w:p w14:paraId="100C20FF">
      <w:pPr>
        <w:adjustRightInd w:val="0"/>
        <w:snapToGrid w:val="0"/>
        <w:spacing w:line="360" w:lineRule="auto"/>
        <w:ind w:firstLine="2088" w:firstLineChars="650"/>
        <w:rPr>
          <w:rFonts w:ascii="宋体" w:hAnsi="宋体" w:cs="宋体"/>
          <w:b/>
          <w:sz w:val="32"/>
          <w:szCs w:val="32"/>
        </w:rPr>
      </w:pPr>
    </w:p>
    <w:p w14:paraId="100C2100">
      <w:pPr>
        <w:adjustRightInd w:val="0"/>
        <w:snapToGrid w:val="0"/>
        <w:spacing w:line="360" w:lineRule="auto"/>
        <w:ind w:firstLine="2088" w:firstLineChars="650"/>
        <w:rPr>
          <w:rFonts w:ascii="宋体" w:hAnsi="宋体" w:cs="宋体"/>
          <w:b/>
          <w:sz w:val="32"/>
          <w:szCs w:val="32"/>
        </w:rPr>
      </w:pPr>
    </w:p>
    <w:p w14:paraId="1AD82997">
      <w:pPr>
        <w:adjustRightInd w:val="0"/>
        <w:snapToGrid w:val="0"/>
        <w:spacing w:line="360" w:lineRule="auto"/>
        <w:ind w:firstLine="2088" w:firstLineChars="650"/>
        <w:rPr>
          <w:rFonts w:ascii="宋体" w:hAnsi="宋体" w:cs="宋体"/>
          <w:b/>
          <w:sz w:val="32"/>
          <w:szCs w:val="32"/>
        </w:rPr>
      </w:pPr>
    </w:p>
    <w:p w14:paraId="100C2101">
      <w:pPr>
        <w:adjustRightInd w:val="0"/>
        <w:snapToGrid w:val="0"/>
        <w:spacing w:line="360" w:lineRule="auto"/>
        <w:ind w:firstLine="2088" w:firstLineChars="650"/>
        <w:rPr>
          <w:rFonts w:ascii="宋体" w:hAnsi="宋体" w:cs="宋体"/>
          <w:b/>
          <w:sz w:val="32"/>
          <w:szCs w:val="32"/>
        </w:rPr>
      </w:pPr>
    </w:p>
    <w:p w14:paraId="100C2102">
      <w:pPr>
        <w:adjustRightInd w:val="0"/>
        <w:snapToGrid w:val="0"/>
        <w:spacing w:line="360" w:lineRule="auto"/>
        <w:ind w:firstLine="2088" w:firstLineChars="650"/>
        <w:rPr>
          <w:rFonts w:hint="eastAsia" w:ascii="宋体" w:hAnsi="宋体" w:cs="宋体"/>
          <w:b/>
          <w:sz w:val="32"/>
          <w:szCs w:val="32"/>
          <w:lang w:eastAsia="zh-CN"/>
        </w:rPr>
      </w:pPr>
      <w:r>
        <w:rPr>
          <w:rFonts w:hint="eastAsia" w:ascii="宋体" w:hAnsi="宋体" w:cs="宋体"/>
          <w:b/>
          <w:sz w:val="32"/>
          <w:szCs w:val="32"/>
          <w:lang w:eastAsia="zh-CN"/>
        </w:rPr>
        <w:t>招标人：南通师范高等专科学校</w:t>
      </w:r>
    </w:p>
    <w:p w14:paraId="100C2103">
      <w:pPr>
        <w:adjustRightInd w:val="0"/>
        <w:snapToGrid w:val="0"/>
        <w:spacing w:line="360" w:lineRule="auto"/>
        <w:ind w:firstLine="2088" w:firstLineChars="650"/>
        <w:rPr>
          <w:rFonts w:hint="eastAsia" w:ascii="宋体" w:hAnsi="宋体" w:cs="宋体"/>
          <w:b/>
          <w:sz w:val="32"/>
          <w:szCs w:val="32"/>
          <w:lang w:eastAsia="zh-CN"/>
        </w:rPr>
      </w:pPr>
      <w:r>
        <w:rPr>
          <w:rFonts w:hint="eastAsia" w:ascii="宋体" w:hAnsi="宋体" w:cs="宋体"/>
          <w:b/>
          <w:sz w:val="32"/>
          <w:szCs w:val="32"/>
          <w:lang w:eastAsia="zh-CN"/>
        </w:rPr>
        <w:t>代理机构：江苏中润工程建设咨询有限公司</w:t>
      </w:r>
    </w:p>
    <w:p w14:paraId="100C2104">
      <w:pPr>
        <w:adjustRightInd w:val="0"/>
        <w:snapToGrid w:val="0"/>
        <w:spacing w:line="360" w:lineRule="auto"/>
        <w:ind w:firstLine="2088" w:firstLineChars="650"/>
        <w:rPr>
          <w:rFonts w:hint="eastAsia" w:ascii="宋体" w:hAnsi="宋体" w:cs="宋体"/>
          <w:b/>
          <w:sz w:val="32"/>
          <w:szCs w:val="32"/>
          <w:lang w:eastAsia="zh-CN"/>
        </w:rPr>
      </w:pPr>
      <w:r>
        <w:rPr>
          <w:rFonts w:hint="eastAsia" w:ascii="宋体" w:hAnsi="宋体" w:cs="宋体"/>
          <w:b/>
          <w:sz w:val="32"/>
          <w:szCs w:val="32"/>
          <w:lang w:val="en-US" w:eastAsia="zh-CN"/>
        </w:rPr>
        <w:t>时间：</w:t>
      </w:r>
      <w:r>
        <w:rPr>
          <w:rFonts w:hint="eastAsia" w:ascii="宋体" w:hAnsi="宋体" w:cs="宋体"/>
          <w:b/>
          <w:sz w:val="32"/>
          <w:szCs w:val="32"/>
          <w:lang w:eastAsia="zh-CN"/>
        </w:rPr>
        <w:t>二〇二六年</w:t>
      </w:r>
      <w:r>
        <w:rPr>
          <w:rFonts w:hint="eastAsia" w:ascii="宋体" w:hAnsi="宋体" w:cs="宋体"/>
          <w:b/>
          <w:sz w:val="32"/>
          <w:szCs w:val="32"/>
          <w:lang w:val="en-US" w:eastAsia="zh-CN"/>
        </w:rPr>
        <w:t>八</w:t>
      </w:r>
      <w:r>
        <w:rPr>
          <w:rFonts w:hint="eastAsia" w:ascii="宋体" w:hAnsi="宋体" w:cs="宋体"/>
          <w:b/>
          <w:sz w:val="32"/>
          <w:szCs w:val="32"/>
          <w:lang w:eastAsia="zh-CN"/>
        </w:rPr>
        <w:t>月</w:t>
      </w:r>
    </w:p>
    <w:p w14:paraId="100C2105">
      <w:pPr>
        <w:spacing w:line="360" w:lineRule="auto"/>
        <w:rPr>
          <w:rFonts w:ascii="宋体" w:hAnsi="宋体" w:cs="宋体"/>
          <w:b/>
          <w:bCs/>
          <w:sz w:val="30"/>
          <w:szCs w:val="30"/>
        </w:rPr>
        <w:sectPr>
          <w:footerReference r:id="rId3" w:type="default"/>
          <w:pgSz w:w="11907" w:h="16839"/>
          <w:pgMar w:top="1440" w:right="1340" w:bottom="1440" w:left="1440" w:header="720" w:footer="720" w:gutter="0"/>
          <w:pgNumType w:start="0"/>
          <w:cols w:space="720" w:num="1"/>
          <w:docGrid w:linePitch="286" w:charSpace="0"/>
        </w:sectPr>
      </w:pPr>
    </w:p>
    <w:p w14:paraId="100C2106">
      <w:pPr>
        <w:spacing w:line="360" w:lineRule="auto"/>
        <w:jc w:val="center"/>
        <w:rPr>
          <w:rFonts w:ascii="宋体" w:hAnsi="宋体" w:cs="宋体"/>
          <w:b/>
          <w:bCs/>
          <w:sz w:val="32"/>
          <w:szCs w:val="32"/>
        </w:rPr>
      </w:pPr>
      <w:r>
        <w:rPr>
          <w:rFonts w:hint="eastAsia" w:ascii="宋体" w:hAnsi="宋体" w:cs="宋体"/>
          <w:b/>
          <w:bCs/>
          <w:sz w:val="32"/>
          <w:szCs w:val="32"/>
        </w:rPr>
        <w:t>目      录</w:t>
      </w:r>
    </w:p>
    <w:p w14:paraId="100C2107">
      <w:pPr>
        <w:spacing w:line="360" w:lineRule="auto"/>
        <w:rPr>
          <w:rFonts w:ascii="宋体" w:hAnsi="宋体" w:cs="宋体"/>
          <w:b/>
          <w:bCs/>
          <w:sz w:val="44"/>
          <w:szCs w:val="44"/>
        </w:rPr>
      </w:pPr>
    </w:p>
    <w:p w14:paraId="100C2108">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"_Toc450137519" </w:instrText>
      </w:r>
      <w:r>
        <w:rPr>
          <w:sz w:val="28"/>
          <w:szCs w:val="28"/>
        </w:rPr>
        <w:fldChar w:fldCharType="separate"/>
      </w:r>
      <w:r>
        <w:rPr>
          <w:rStyle w:val="131"/>
          <w:rFonts w:hint="eastAsia" w:ascii="宋体" w:hAnsi="宋体" w:cs="宋体"/>
          <w:b/>
          <w:bCs/>
          <w:color w:val="auto"/>
          <w:sz w:val="28"/>
          <w:szCs w:val="28"/>
          <w:u w:val="none"/>
        </w:rPr>
        <w:t>第一章 招标公告</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..............................02</w:t>
      </w:r>
    </w:p>
    <w:p w14:paraId="100C2109">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"_Toc450137520" </w:instrText>
      </w:r>
      <w:r>
        <w:rPr>
          <w:sz w:val="28"/>
          <w:szCs w:val="28"/>
        </w:rPr>
        <w:fldChar w:fldCharType="separate"/>
      </w:r>
      <w:r>
        <w:rPr>
          <w:rStyle w:val="131"/>
          <w:rFonts w:hint="eastAsia" w:ascii="宋体" w:hAnsi="宋体" w:cs="宋体"/>
          <w:b/>
          <w:bCs/>
          <w:color w:val="auto"/>
          <w:sz w:val="28"/>
          <w:szCs w:val="28"/>
          <w:u w:val="none"/>
        </w:rPr>
        <w:t>第二章 投标人须知</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............................05</w:t>
      </w:r>
    </w:p>
    <w:p w14:paraId="100C210A">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"_Toc450137521" </w:instrText>
      </w:r>
      <w:r>
        <w:rPr>
          <w:sz w:val="28"/>
          <w:szCs w:val="28"/>
        </w:rPr>
        <w:fldChar w:fldCharType="separate"/>
      </w:r>
      <w:r>
        <w:rPr>
          <w:rStyle w:val="131"/>
          <w:rFonts w:hint="eastAsia" w:ascii="宋体" w:hAnsi="宋体" w:cs="宋体"/>
          <w:b/>
          <w:bCs/>
          <w:color w:val="auto"/>
          <w:sz w:val="28"/>
          <w:szCs w:val="28"/>
          <w:u w:val="none"/>
        </w:rPr>
        <w:t>第三章 项目需求</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..............................09</w:t>
      </w:r>
    </w:p>
    <w:p w14:paraId="100C210B">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"_Toc450137522" </w:instrText>
      </w:r>
      <w:r>
        <w:rPr>
          <w:sz w:val="28"/>
          <w:szCs w:val="28"/>
        </w:rPr>
        <w:fldChar w:fldCharType="separate"/>
      </w:r>
      <w:r>
        <w:rPr>
          <w:rStyle w:val="131"/>
          <w:rFonts w:hint="eastAsia" w:ascii="宋体" w:hAnsi="宋体" w:cs="宋体"/>
          <w:b/>
          <w:bCs/>
          <w:color w:val="auto"/>
          <w:sz w:val="28"/>
          <w:szCs w:val="28"/>
          <w:u w:val="none"/>
        </w:rPr>
        <w:t>第四章 评审方法和程序</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........................13</w:t>
      </w:r>
    </w:p>
    <w:p w14:paraId="100C210C">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"_Toc450137523" </w:instrText>
      </w:r>
      <w:r>
        <w:rPr>
          <w:sz w:val="28"/>
          <w:szCs w:val="28"/>
        </w:rPr>
        <w:fldChar w:fldCharType="separate"/>
      </w:r>
      <w:r>
        <w:rPr>
          <w:rStyle w:val="131"/>
          <w:rFonts w:hint="eastAsia" w:ascii="宋体" w:hAnsi="宋体" w:cs="宋体"/>
          <w:b/>
          <w:bCs/>
          <w:color w:val="auto"/>
          <w:sz w:val="28"/>
          <w:szCs w:val="28"/>
          <w:u w:val="none"/>
        </w:rPr>
        <w:t>第五章 合同主要条款</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..........................19</w:t>
      </w:r>
    </w:p>
    <w:p w14:paraId="100C210D">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"_Toc450137524" </w:instrText>
      </w:r>
      <w:r>
        <w:rPr>
          <w:sz w:val="28"/>
          <w:szCs w:val="28"/>
        </w:rPr>
        <w:fldChar w:fldCharType="separate"/>
      </w:r>
      <w:r>
        <w:rPr>
          <w:rStyle w:val="131"/>
          <w:rFonts w:hint="eastAsia" w:ascii="宋体" w:hAnsi="宋体" w:cs="宋体"/>
          <w:b/>
          <w:bCs/>
          <w:color w:val="auto"/>
          <w:sz w:val="28"/>
          <w:szCs w:val="28"/>
          <w:u w:val="none"/>
        </w:rPr>
        <w:t xml:space="preserve">第六章 </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质疑与投诉............................25</w:t>
      </w:r>
    </w:p>
    <w:p w14:paraId="100C210E">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"_Toc450137525" </w:instrText>
      </w:r>
      <w:r>
        <w:rPr>
          <w:sz w:val="28"/>
          <w:szCs w:val="28"/>
        </w:rPr>
        <w:fldChar w:fldCharType="separate"/>
      </w:r>
      <w:r>
        <w:rPr>
          <w:rStyle w:val="131"/>
          <w:rFonts w:hint="eastAsia" w:ascii="宋体" w:hAnsi="宋体" w:cs="宋体"/>
          <w:b/>
          <w:bCs/>
          <w:color w:val="auto"/>
          <w:sz w:val="28"/>
          <w:szCs w:val="28"/>
          <w:u w:val="none"/>
        </w:rPr>
        <w:t xml:space="preserve">第七章 </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投标文件组成及格式....................28</w:t>
      </w:r>
    </w:p>
    <w:p w14:paraId="100C210F">
      <w:pPr>
        <w:pStyle w:val="38"/>
        <w:tabs>
          <w:tab w:val="left" w:pos="6591"/>
          <w:tab w:val="clear" w:pos="9736"/>
        </w:tabs>
        <w:spacing w:line="360" w:lineRule="auto"/>
        <w:ind w:firstLine="321" w:firstLineChars="100"/>
        <w:jc w:val="left"/>
        <w:rPr>
          <w:rFonts w:ascii="宋体" w:hAnsi="宋体" w:cs="宋体"/>
          <w:b/>
          <w:bCs/>
          <w:sz w:val="32"/>
          <w:szCs w:val="32"/>
        </w:rPr>
      </w:pPr>
      <w:r>
        <w:rPr>
          <w:rFonts w:hint="eastAsia" w:ascii="宋体" w:hAnsi="宋体" w:cs="宋体"/>
          <w:b/>
          <w:bCs/>
          <w:sz w:val="32"/>
          <w:szCs w:val="32"/>
        </w:rPr>
        <w:tab/>
      </w:r>
    </w:p>
    <w:p w14:paraId="100C2110">
      <w:pPr>
        <w:snapToGrid w:val="0"/>
        <w:spacing w:line="460" w:lineRule="exact"/>
        <w:ind w:firstLine="527" w:firstLineChars="250"/>
        <w:rPr>
          <w:rFonts w:ascii="宋体" w:hAnsi="宋体" w:cs="宋体"/>
          <w:b/>
          <w:bCs/>
          <w:sz w:val="28"/>
          <w:szCs w:val="28"/>
        </w:rPr>
      </w:pPr>
      <w:r>
        <w:rPr>
          <w:rFonts w:hint="eastAsia" w:ascii="宋体" w:hAnsi="宋体" w:cs="宋体"/>
          <w:b/>
          <w:bCs/>
        </w:rPr>
        <w:br w:type="page"/>
      </w:r>
    </w:p>
    <w:p w14:paraId="100C2111">
      <w:pPr>
        <w:pStyle w:val="160"/>
        <w:spacing w:before="312" w:after="312" w:line="460" w:lineRule="exact"/>
        <w:rPr>
          <w:rFonts w:ascii="宋体" w:eastAsia="宋体" w:cs="宋体"/>
          <w:sz w:val="32"/>
          <w:szCs w:val="32"/>
        </w:rPr>
      </w:pPr>
      <w:r>
        <w:rPr>
          <w:rFonts w:hint="eastAsia" w:ascii="宋体" w:eastAsia="宋体" w:cs="宋体"/>
          <w:sz w:val="32"/>
          <w:szCs w:val="32"/>
        </w:rPr>
        <w:t>第一章  招标公告</w:t>
      </w:r>
    </w:p>
    <w:p w14:paraId="100C2112">
      <w:pPr>
        <w:keepNext w:val="0"/>
        <w:keepLines w:val="0"/>
        <w:pageBreakBefore w:val="0"/>
        <w:widowControl w:val="0"/>
        <w:kinsoku/>
        <w:overflowPunct/>
        <w:topLinePunct w:val="0"/>
        <w:autoSpaceDE/>
        <w:autoSpaceDN/>
        <w:bidi w:val="0"/>
        <w:adjustRightInd/>
        <w:snapToGrid/>
        <w:spacing w:line="480" w:lineRule="exact"/>
        <w:ind w:firstLine="482" w:firstLineChars="200"/>
        <w:textAlignment w:val="auto"/>
        <w:rPr>
          <w:rFonts w:ascii="宋体" w:hAnsi="宋体" w:cs="宋体"/>
          <w:b/>
          <w:bCs/>
          <w:sz w:val="24"/>
          <w:szCs w:val="24"/>
        </w:rPr>
      </w:pPr>
      <w:bookmarkStart w:id="1" w:name="_Toc182848970"/>
      <w:r>
        <w:rPr>
          <w:rFonts w:hint="eastAsia" w:ascii="宋体" w:hAnsi="宋体" w:cs="宋体"/>
          <w:b/>
          <w:bCs/>
          <w:sz w:val="24"/>
          <w:szCs w:val="24"/>
        </w:rPr>
        <w:t>项目概况</w:t>
      </w:r>
    </w:p>
    <w:p w14:paraId="61A6EE0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cs="宋体"/>
          <w:sz w:val="24"/>
          <w:szCs w:val="24"/>
        </w:rPr>
      </w:pPr>
      <w:r>
        <w:rPr>
          <w:rFonts w:hint="eastAsia" w:ascii="宋体" w:hAnsi="宋体" w:cs="宋体"/>
          <w:sz w:val="24"/>
          <w:szCs w:val="24"/>
        </w:rPr>
        <w:t>江苏中润工程建设咨询有限公司（以下简称代理机构）受</w:t>
      </w:r>
      <w:r>
        <w:rPr>
          <w:rFonts w:hint="eastAsia" w:ascii="宋体" w:hAnsi="宋体" w:cs="宋体"/>
          <w:sz w:val="24"/>
          <w:szCs w:val="24"/>
          <w:lang w:eastAsia="zh-CN"/>
        </w:rPr>
        <w:t>南通师范高等专科学校</w:t>
      </w:r>
      <w:r>
        <w:rPr>
          <w:rFonts w:hint="eastAsia" w:ascii="宋体" w:hAnsi="宋体" w:cs="宋体"/>
          <w:sz w:val="24"/>
          <w:szCs w:val="24"/>
        </w:rPr>
        <w:t>（以下简称</w:t>
      </w:r>
      <w:r>
        <w:rPr>
          <w:rFonts w:hint="eastAsia" w:ascii="宋体" w:hAnsi="宋体" w:cs="宋体"/>
          <w:sz w:val="24"/>
          <w:szCs w:val="24"/>
          <w:lang w:eastAsia="zh-CN"/>
        </w:rPr>
        <w:t>招标人</w:t>
      </w:r>
      <w:r>
        <w:rPr>
          <w:rFonts w:hint="eastAsia" w:ascii="宋体" w:hAnsi="宋体" w:cs="宋体"/>
          <w:sz w:val="24"/>
          <w:szCs w:val="24"/>
        </w:rPr>
        <w:t>）的委托，就</w:t>
      </w:r>
      <w:r>
        <w:rPr>
          <w:rFonts w:hint="eastAsia" w:ascii="宋体" w:hAnsi="宋体" w:cs="宋体"/>
          <w:sz w:val="24"/>
          <w:szCs w:val="24"/>
          <w:u w:val="single"/>
          <w:lang w:eastAsia="zh-CN"/>
        </w:rPr>
        <w:t>南通师范高等专科学校开发区校区大宗食材采购</w:t>
      </w:r>
      <w:r>
        <w:rPr>
          <w:rFonts w:hint="eastAsia" w:ascii="宋体" w:hAnsi="宋体" w:cs="宋体"/>
          <w:sz w:val="24"/>
          <w:szCs w:val="24"/>
          <w:u w:val="single"/>
        </w:rPr>
        <w:t>项目</w:t>
      </w:r>
      <w:r>
        <w:rPr>
          <w:rFonts w:hint="eastAsia" w:ascii="宋体" w:hAnsi="宋体" w:cs="宋体"/>
          <w:sz w:val="24"/>
          <w:szCs w:val="24"/>
          <w:u w:val="single"/>
          <w:lang w:eastAsia="zh-CN"/>
        </w:rPr>
        <w:t>（</w:t>
      </w:r>
      <w:r>
        <w:rPr>
          <w:rFonts w:hint="eastAsia" w:ascii="宋体" w:hAnsi="宋体" w:cs="宋体"/>
          <w:sz w:val="24"/>
          <w:szCs w:val="24"/>
          <w:u w:val="single"/>
          <w:lang w:val="en-US" w:eastAsia="zh-CN"/>
        </w:rPr>
        <w:t>二次</w:t>
      </w:r>
      <w:r>
        <w:rPr>
          <w:rFonts w:hint="eastAsia" w:ascii="宋体" w:hAnsi="宋体" w:cs="宋体"/>
          <w:sz w:val="24"/>
          <w:szCs w:val="24"/>
          <w:u w:val="single"/>
          <w:lang w:eastAsia="zh-CN"/>
        </w:rPr>
        <w:t>）</w:t>
      </w:r>
      <w:r>
        <w:rPr>
          <w:rFonts w:hint="eastAsia" w:ascii="宋体" w:hAnsi="宋体" w:cs="宋体"/>
          <w:sz w:val="24"/>
          <w:szCs w:val="24"/>
        </w:rPr>
        <w:t>组织公开招标，诚邀符合条件的潜在投标人参加投标。</w:t>
      </w:r>
    </w:p>
    <w:p w14:paraId="100C211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cs="宋体"/>
          <w:sz w:val="24"/>
          <w:szCs w:val="24"/>
        </w:rPr>
      </w:pPr>
      <w:r>
        <w:rPr>
          <w:rFonts w:hint="eastAsia" w:ascii="宋体" w:hAnsi="宋体" w:cs="宋体"/>
          <w:sz w:val="24"/>
          <w:szCs w:val="24"/>
        </w:rPr>
        <w:t>潜在投标人应在</w:t>
      </w:r>
      <w:r>
        <w:rPr>
          <w:rFonts w:hint="eastAsia" w:ascii="宋体" w:hAnsi="宋体" w:cs="宋体"/>
          <w:sz w:val="24"/>
          <w:szCs w:val="24"/>
          <w:lang w:eastAsia="zh-CN"/>
        </w:rPr>
        <w:t>南通师范高等专科学校</w:t>
      </w:r>
      <w:r>
        <w:rPr>
          <w:rFonts w:hint="eastAsia" w:ascii="宋体" w:hAnsi="宋体" w:cs="宋体"/>
          <w:sz w:val="24"/>
          <w:szCs w:val="24"/>
        </w:rPr>
        <w:t>官网获取招标文件,并于2026年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11</w:t>
      </w:r>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点</w:t>
      </w:r>
      <w:r>
        <w:rPr>
          <w:rFonts w:hint="eastAsia" w:ascii="宋体" w:hAnsi="宋体" w:cs="宋体"/>
          <w:sz w:val="24"/>
          <w:szCs w:val="24"/>
          <w:lang w:val="en-US" w:eastAsia="zh-CN"/>
        </w:rPr>
        <w:t>3</w:t>
      </w:r>
      <w:r>
        <w:rPr>
          <w:rFonts w:hint="eastAsia" w:ascii="宋体" w:hAnsi="宋体" w:cs="宋体"/>
          <w:sz w:val="24"/>
          <w:szCs w:val="24"/>
        </w:rPr>
        <w:t>0分（北京时间）前递交投标文件至</w:t>
      </w:r>
      <w:r>
        <w:rPr>
          <w:rFonts w:hint="eastAsia" w:ascii="宋体" w:hAnsi="宋体" w:cs="宋体"/>
          <w:sz w:val="24"/>
          <w:szCs w:val="24"/>
          <w:lang w:val="en-US" w:eastAsia="zh-CN"/>
        </w:rPr>
        <w:t>南通市崇川区崇川路58号南通产业技术研究院9号楼1楼西大厅A101签订处</w:t>
      </w:r>
      <w:r>
        <w:rPr>
          <w:rFonts w:hint="eastAsia" w:ascii="宋体" w:hAnsi="宋体" w:cs="宋体"/>
          <w:sz w:val="24"/>
          <w:szCs w:val="24"/>
        </w:rPr>
        <w:t>。</w:t>
      </w:r>
    </w:p>
    <w:p w14:paraId="100C2114">
      <w:pPr>
        <w:keepNext w:val="0"/>
        <w:keepLines w:val="0"/>
        <w:pageBreakBefore w:val="0"/>
        <w:widowControl w:val="0"/>
        <w:kinsoku/>
        <w:overflowPunct/>
        <w:topLinePunct w:val="0"/>
        <w:autoSpaceDE/>
        <w:autoSpaceDN/>
        <w:bidi w:val="0"/>
        <w:adjustRightInd/>
        <w:snapToGri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一、项目基本情况</w:t>
      </w:r>
    </w:p>
    <w:p w14:paraId="100C2115">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eastAsia="宋体" w:cs="宋体"/>
          <w:spacing w:val="7"/>
          <w:sz w:val="24"/>
          <w:szCs w:val="24"/>
          <w:lang w:eastAsia="zh-CN"/>
        </w:rPr>
      </w:pPr>
      <w:r>
        <w:rPr>
          <w:rFonts w:hint="eastAsia" w:ascii="宋体" w:hAnsi="宋体" w:cs="宋体"/>
          <w:spacing w:val="7"/>
          <w:sz w:val="24"/>
          <w:szCs w:val="24"/>
        </w:rPr>
        <w:t>项目名称：</w:t>
      </w:r>
      <w:r>
        <w:rPr>
          <w:rFonts w:hint="eastAsia" w:ascii="宋体" w:hAnsi="宋体" w:cs="宋体"/>
          <w:spacing w:val="7"/>
          <w:sz w:val="24"/>
          <w:szCs w:val="24"/>
          <w:lang w:eastAsia="zh-CN"/>
        </w:rPr>
        <w:t>南通师范高等专科学校开发区校区大宗食材采购</w:t>
      </w:r>
      <w:r>
        <w:rPr>
          <w:rFonts w:hint="eastAsia" w:ascii="宋体" w:hAnsi="宋体" w:cs="宋体"/>
          <w:spacing w:val="7"/>
          <w:sz w:val="24"/>
          <w:szCs w:val="24"/>
        </w:rPr>
        <w:t>项目</w:t>
      </w:r>
      <w:r>
        <w:rPr>
          <w:rFonts w:hint="eastAsia" w:ascii="宋体" w:hAnsi="宋体" w:cs="宋体"/>
          <w:spacing w:val="7"/>
          <w:sz w:val="24"/>
          <w:szCs w:val="24"/>
          <w:lang w:eastAsia="zh-CN"/>
        </w:rPr>
        <w:t>（</w:t>
      </w:r>
      <w:r>
        <w:rPr>
          <w:rFonts w:hint="eastAsia" w:ascii="宋体" w:hAnsi="宋体" w:cs="宋体"/>
          <w:spacing w:val="7"/>
          <w:sz w:val="24"/>
          <w:szCs w:val="24"/>
          <w:lang w:val="en-US" w:eastAsia="zh-CN"/>
        </w:rPr>
        <w:t>二次</w:t>
      </w:r>
      <w:r>
        <w:rPr>
          <w:rFonts w:hint="eastAsia" w:ascii="宋体" w:hAnsi="宋体" w:cs="宋体"/>
          <w:spacing w:val="7"/>
          <w:sz w:val="24"/>
          <w:szCs w:val="24"/>
          <w:lang w:eastAsia="zh-CN"/>
        </w:rPr>
        <w:t>）</w:t>
      </w:r>
    </w:p>
    <w:p w14:paraId="100C2116">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rPr>
        <w:t>项目编号：TSGZCG2026</w:t>
      </w:r>
      <w:r>
        <w:rPr>
          <w:rFonts w:hint="eastAsia" w:ascii="宋体" w:hAnsi="宋体" w:cs="宋体"/>
          <w:spacing w:val="7"/>
          <w:sz w:val="24"/>
          <w:szCs w:val="24"/>
          <w:lang w:val="en-US" w:eastAsia="zh-CN"/>
        </w:rPr>
        <w:t>019</w:t>
      </w:r>
    </w:p>
    <w:p w14:paraId="100C2117">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default" w:ascii="宋体" w:hAnsi="宋体" w:cs="宋体"/>
          <w:spacing w:val="7"/>
          <w:sz w:val="24"/>
          <w:szCs w:val="24"/>
          <w:lang w:val="en-US" w:eastAsia="zh-CN"/>
        </w:rPr>
      </w:pPr>
      <w:r>
        <w:rPr>
          <w:rFonts w:hint="eastAsia" w:ascii="宋体" w:hAnsi="宋体" w:cs="宋体"/>
          <w:spacing w:val="7"/>
          <w:sz w:val="24"/>
          <w:szCs w:val="24"/>
        </w:rPr>
        <w:t>预算金额：</w:t>
      </w:r>
      <w:r>
        <w:rPr>
          <w:rFonts w:hint="eastAsia" w:ascii="宋体" w:hAnsi="宋体" w:cs="宋体"/>
          <w:spacing w:val="7"/>
          <w:sz w:val="24"/>
          <w:szCs w:val="24"/>
          <w:lang w:val="en-US" w:eastAsia="zh-CN"/>
        </w:rPr>
        <w:t>项目总预算471万元（预估采购规模），本次采购的三个标段总预算80万元（预估采购规模）</w:t>
      </w:r>
    </w:p>
    <w:p w14:paraId="16C5ED2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rPr>
        <w:t>最高限价：本项目采用折扣率报价形式，各标段</w:t>
      </w:r>
      <w:r>
        <w:rPr>
          <w:rFonts w:hint="eastAsia" w:ascii="宋体" w:hAnsi="宋体" w:cs="宋体"/>
          <w:spacing w:val="7"/>
          <w:sz w:val="24"/>
          <w:szCs w:val="24"/>
          <w:lang w:val="en-US" w:eastAsia="zh-CN"/>
        </w:rPr>
        <w:t>年度预计采购量、</w:t>
      </w:r>
      <w:r>
        <w:rPr>
          <w:rFonts w:hint="eastAsia" w:ascii="宋体" w:hAnsi="宋体" w:cs="宋体"/>
          <w:spacing w:val="7"/>
          <w:sz w:val="24"/>
          <w:szCs w:val="24"/>
        </w:rPr>
        <w:t>最高</w:t>
      </w:r>
      <w:r>
        <w:rPr>
          <w:rFonts w:hint="eastAsia" w:ascii="宋体" w:hAnsi="宋体" w:cs="宋体"/>
          <w:spacing w:val="7"/>
          <w:sz w:val="24"/>
          <w:szCs w:val="24"/>
          <w:lang w:val="en-US" w:eastAsia="zh-CN"/>
        </w:rPr>
        <w:t>折扣</w:t>
      </w:r>
      <w:r>
        <w:rPr>
          <w:rFonts w:hint="eastAsia" w:ascii="宋体" w:hAnsi="宋体" w:cs="宋体"/>
          <w:spacing w:val="7"/>
          <w:sz w:val="24"/>
          <w:szCs w:val="24"/>
        </w:rPr>
        <w:t>率详见</w:t>
      </w:r>
      <w:r>
        <w:rPr>
          <w:rFonts w:hint="eastAsia" w:ascii="宋体" w:hAnsi="宋体" w:cs="宋体"/>
          <w:spacing w:val="7"/>
          <w:sz w:val="24"/>
          <w:szCs w:val="24"/>
          <w:lang w:val="en-US" w:eastAsia="zh-CN"/>
        </w:rPr>
        <w:t>招标文件</w:t>
      </w:r>
      <w:r>
        <w:rPr>
          <w:rFonts w:hint="eastAsia" w:ascii="宋体" w:hAnsi="宋体" w:cs="宋体"/>
          <w:spacing w:val="7"/>
          <w:sz w:val="24"/>
          <w:szCs w:val="24"/>
        </w:rPr>
        <w:t>，投标折扣率报价保留至小数点后两位，投标人的报价超过最高限价的，作无效投标处理。</w:t>
      </w:r>
    </w:p>
    <w:p w14:paraId="100C216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rPr>
        <w:t>合同履行期限：详见招标文件。</w:t>
      </w:r>
    </w:p>
    <w:p w14:paraId="100C2161">
      <w:pPr>
        <w:keepNext w:val="0"/>
        <w:keepLines w:val="0"/>
        <w:pageBreakBefore w:val="0"/>
        <w:widowControl w:val="0"/>
        <w:kinsoku/>
        <w:wordWrap/>
        <w:overflowPunct/>
        <w:topLinePunct w:val="0"/>
        <w:autoSpaceDE/>
        <w:autoSpaceDN/>
        <w:bidi w:val="0"/>
        <w:adjustRightInd/>
        <w:spacing w:line="480" w:lineRule="exact"/>
        <w:ind w:firstLine="510" w:firstLineChars="200"/>
        <w:textAlignment w:val="auto"/>
        <w:rPr>
          <w:rFonts w:ascii="宋体" w:hAnsi="宋体" w:cs="宋体"/>
          <w:b/>
          <w:bCs/>
          <w:spacing w:val="7"/>
          <w:sz w:val="24"/>
          <w:szCs w:val="24"/>
        </w:rPr>
      </w:pPr>
      <w:r>
        <w:rPr>
          <w:rFonts w:hint="eastAsia" w:ascii="宋体" w:hAnsi="宋体" w:cs="宋体"/>
          <w:b/>
          <w:bCs/>
          <w:spacing w:val="7"/>
          <w:sz w:val="24"/>
          <w:szCs w:val="24"/>
        </w:rPr>
        <w:t>二、申请人的资格要求</w:t>
      </w:r>
    </w:p>
    <w:p w14:paraId="100C2162">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rPr>
        <w:t>1.具有独立承担民事责任的能力；具有良好的商业信誉和健全的财务会计制度；有依法缴纳税收和社会保障资金的良好记录；参加采购活动前三年内，在经营活动中没有重大违法记录；法律、行政法规规定的其他条件。</w:t>
      </w:r>
    </w:p>
    <w:p w14:paraId="2B6504AF">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rPr>
        <w:t>2.</w:t>
      </w:r>
      <w:r>
        <w:rPr>
          <w:rFonts w:hint="eastAsia" w:ascii="宋体" w:hAnsi="宋体" w:cs="宋体"/>
          <w:spacing w:val="7"/>
          <w:sz w:val="24"/>
          <w:szCs w:val="24"/>
          <w:lang w:val="zh-CN"/>
        </w:rPr>
        <w:t>供应商是生产厂商的，具有有效的食品生产许可证；供应商是销售商的，具有有效的食品经营许可证或在市场监督管理局备案的预包装食品销售备案证明；</w:t>
      </w:r>
    </w:p>
    <w:p w14:paraId="2BC1C745">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3.</w:t>
      </w:r>
      <w:r>
        <w:rPr>
          <w:rFonts w:hint="eastAsia" w:ascii="宋体" w:hAnsi="宋体" w:cs="宋体"/>
          <w:spacing w:val="7"/>
          <w:sz w:val="24"/>
          <w:szCs w:val="24"/>
          <w:lang w:val="zh-CN"/>
        </w:rPr>
        <w:t>供应商必须在南通市范围内（含市辖区、县）有固定的经营场所（含办公和配送、仓储场所等）；或</w:t>
      </w:r>
      <w:r>
        <w:rPr>
          <w:rFonts w:hint="eastAsia" w:ascii="宋体" w:hAnsi="宋体" w:cs="宋体"/>
          <w:spacing w:val="7"/>
          <w:sz w:val="24"/>
          <w:szCs w:val="24"/>
          <w:lang w:val="en-US" w:eastAsia="zh-CN"/>
        </w:rPr>
        <w:t>具备</w:t>
      </w:r>
      <w:r>
        <w:rPr>
          <w:rFonts w:hint="eastAsia" w:ascii="宋体" w:hAnsi="宋体" w:cs="宋体"/>
          <w:spacing w:val="7"/>
          <w:sz w:val="24"/>
          <w:szCs w:val="24"/>
          <w:lang w:val="zh-CN"/>
        </w:rPr>
        <w:t>到达我校路程在</w:t>
      </w:r>
      <w:r>
        <w:rPr>
          <w:rFonts w:hint="eastAsia" w:ascii="宋体" w:hAnsi="宋体" w:cs="宋体"/>
          <w:spacing w:val="7"/>
          <w:sz w:val="24"/>
          <w:szCs w:val="24"/>
        </w:rPr>
        <w:t>2小时内的经营场所及仓储（提供导航地图截图）。</w:t>
      </w:r>
      <w:r>
        <w:rPr>
          <w:rFonts w:hint="eastAsia" w:ascii="宋体" w:hAnsi="宋体" w:cs="宋体"/>
          <w:spacing w:val="7"/>
          <w:sz w:val="24"/>
          <w:szCs w:val="24"/>
          <w:lang w:val="zh-CN"/>
        </w:rPr>
        <w:t>提供有固定办公、仓储场所相关证明资料（提供经营、办公和仓储等场所的产权或权属证明及照片，租赁场所还需同时提供租赁合同）；</w:t>
      </w:r>
    </w:p>
    <w:p w14:paraId="187055D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4.</w:t>
      </w:r>
      <w:r>
        <w:rPr>
          <w:rFonts w:hint="eastAsia" w:ascii="宋体" w:hAnsi="宋体" w:cs="宋体"/>
          <w:spacing w:val="7"/>
          <w:sz w:val="24"/>
          <w:szCs w:val="24"/>
          <w:lang w:val="zh-CN"/>
        </w:rPr>
        <w:t>供应商中标后不得将中标项目分包或者转让给其他主体实施（所有配送人员都必须是本单位员工，在</w:t>
      </w:r>
      <w:r>
        <w:rPr>
          <w:rFonts w:hint="eastAsia" w:ascii="宋体" w:hAnsi="宋体" w:cs="宋体"/>
          <w:spacing w:val="7"/>
          <w:sz w:val="24"/>
          <w:szCs w:val="24"/>
          <w:lang w:val="en-US" w:eastAsia="zh-CN"/>
        </w:rPr>
        <w:t>中标</w:t>
      </w:r>
      <w:r>
        <w:rPr>
          <w:rFonts w:hint="eastAsia" w:ascii="宋体" w:hAnsi="宋体" w:cs="宋体"/>
          <w:spacing w:val="7"/>
          <w:sz w:val="24"/>
          <w:szCs w:val="24"/>
          <w:lang w:val="zh-CN"/>
        </w:rPr>
        <w:t>服务期内，未经采购方许可，不得更换），</w:t>
      </w:r>
      <w:r>
        <w:rPr>
          <w:rFonts w:hint="eastAsia" w:ascii="宋体" w:hAnsi="宋体" w:cs="宋体"/>
          <w:spacing w:val="7"/>
          <w:sz w:val="24"/>
          <w:szCs w:val="24"/>
          <w:lang w:val="en-US" w:eastAsia="zh-CN"/>
        </w:rPr>
        <w:t>投标</w:t>
      </w:r>
      <w:r>
        <w:rPr>
          <w:rFonts w:hint="eastAsia" w:ascii="宋体" w:hAnsi="宋体" w:cs="宋体"/>
          <w:spacing w:val="7"/>
          <w:sz w:val="24"/>
          <w:szCs w:val="24"/>
          <w:lang w:val="zh-CN"/>
        </w:rPr>
        <w:t>时提供承诺书（格式自拟）；</w:t>
      </w:r>
    </w:p>
    <w:p w14:paraId="0F18F7E1">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5.</w:t>
      </w:r>
      <w:r>
        <w:rPr>
          <w:rFonts w:hint="eastAsia" w:ascii="宋体" w:hAnsi="宋体" w:cs="宋体"/>
          <w:spacing w:val="7"/>
          <w:sz w:val="24"/>
          <w:szCs w:val="24"/>
          <w:lang w:val="zh-CN"/>
        </w:rPr>
        <w:t>未被“信用中国”网站列入失信被执行人、重大税收违法案件当事人名单、采购严重失信行为记录名单；</w:t>
      </w:r>
    </w:p>
    <w:p w14:paraId="677045B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rPr>
        <w:t>6.供货商必须承诺非南通师范高等专科学校职工（包括直系亲属）参与经营；</w:t>
      </w:r>
    </w:p>
    <w:p w14:paraId="01BFA0DB">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bookmarkStart w:id="2" w:name="_Hlk205470411"/>
      <w:r>
        <w:rPr>
          <w:rFonts w:hint="eastAsia" w:ascii="宋体" w:hAnsi="宋体" w:cs="宋体"/>
          <w:spacing w:val="7"/>
          <w:sz w:val="24"/>
          <w:szCs w:val="24"/>
          <w:lang w:val="en-US" w:eastAsia="zh-CN"/>
        </w:rPr>
        <w:t>7.</w:t>
      </w:r>
      <w:r>
        <w:rPr>
          <w:rFonts w:hint="eastAsia" w:ascii="宋体" w:hAnsi="宋体" w:cs="宋体"/>
          <w:spacing w:val="7"/>
          <w:sz w:val="24"/>
          <w:szCs w:val="24"/>
          <w:lang w:val="zh-CN" w:eastAsia="zh-CN"/>
        </w:rPr>
        <w:t>我校食堂承包服务商及关联企业不得参与投标。</w:t>
      </w:r>
      <w:bookmarkEnd w:id="2"/>
    </w:p>
    <w:p w14:paraId="1FE7832D">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8.提供法定代表人身份证明及法定代表人本人身份证复印件；非法定代表人参加投标的，必须提供法定代表人身份证明、法定代表人签名或盖章的授权委托书及法定代表人和委托代</w:t>
      </w:r>
      <w:r>
        <w:rPr>
          <w:rFonts w:hint="eastAsia" w:ascii="宋体" w:hAnsi="宋体" w:cs="宋体"/>
          <w:spacing w:val="7"/>
          <w:sz w:val="24"/>
          <w:szCs w:val="24"/>
          <w:lang w:val="zh-CN" w:eastAsia="zh-CN"/>
        </w:rPr>
        <w:t>理人（以下称被授权人）两个人的身份证复印件（格式见</w:t>
      </w:r>
      <w:r>
        <w:rPr>
          <w:rFonts w:hint="eastAsia" w:ascii="宋体" w:hAnsi="宋体" w:cs="宋体"/>
          <w:spacing w:val="7"/>
          <w:sz w:val="24"/>
          <w:szCs w:val="24"/>
          <w:lang w:val="en-US" w:eastAsia="zh-CN"/>
        </w:rPr>
        <w:t>附件</w:t>
      </w:r>
      <w:r>
        <w:rPr>
          <w:rFonts w:hint="eastAsia" w:ascii="宋体" w:hAnsi="宋体" w:cs="宋体"/>
          <w:spacing w:val="7"/>
          <w:sz w:val="24"/>
          <w:szCs w:val="24"/>
          <w:lang w:val="zh-CN" w:eastAsia="zh-CN"/>
        </w:rPr>
        <w:t>）；</w:t>
      </w:r>
    </w:p>
    <w:p w14:paraId="2AAACD86">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9.</w:t>
      </w:r>
      <w:r>
        <w:rPr>
          <w:rFonts w:hint="eastAsia" w:ascii="宋体" w:hAnsi="宋体" w:cs="宋体"/>
          <w:spacing w:val="7"/>
          <w:sz w:val="24"/>
          <w:szCs w:val="24"/>
          <w:lang w:val="zh-CN" w:eastAsia="zh-CN"/>
        </w:rPr>
        <w:t>法定代表人为同一个人的两个及两个以上法人，母公司、全资子公司及其控股公司，都不得在同一采购项目相同标段中同时</w:t>
      </w:r>
      <w:r>
        <w:rPr>
          <w:rFonts w:hint="eastAsia" w:ascii="宋体" w:hAnsi="宋体" w:cs="宋体"/>
          <w:spacing w:val="7"/>
          <w:sz w:val="24"/>
          <w:szCs w:val="24"/>
          <w:lang w:val="en-US" w:eastAsia="zh-CN"/>
        </w:rPr>
        <w:t>参加投标</w:t>
      </w:r>
      <w:r>
        <w:rPr>
          <w:rFonts w:hint="eastAsia" w:ascii="宋体" w:hAnsi="宋体" w:cs="宋体"/>
          <w:spacing w:val="7"/>
          <w:sz w:val="24"/>
          <w:szCs w:val="24"/>
          <w:lang w:val="zh-CN" w:eastAsia="zh-CN"/>
        </w:rPr>
        <w:t>，一经发现，将视同围标处理；</w:t>
      </w:r>
    </w:p>
    <w:p w14:paraId="51D35E1F">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10.本项目不接受联合体参加。</w:t>
      </w:r>
    </w:p>
    <w:p w14:paraId="100C216D">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三、获取招标文件</w:t>
      </w:r>
    </w:p>
    <w:p w14:paraId="7C17D4EC">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时间：公告发布之日起5</w:t>
      </w:r>
      <w:r>
        <w:rPr>
          <w:rFonts w:hint="eastAsia" w:ascii="宋体" w:hAnsi="宋体" w:cs="宋体"/>
          <w:sz w:val="24"/>
          <w:szCs w:val="24"/>
        </w:rPr>
        <w:t>个工作</w:t>
      </w:r>
      <w:r>
        <w:rPr>
          <w:rFonts w:hint="eastAsia" w:ascii="宋体" w:hAnsi="宋体" w:cs="宋体"/>
          <w:spacing w:val="7"/>
          <w:sz w:val="24"/>
          <w:szCs w:val="24"/>
          <w:lang w:val="en-US" w:eastAsia="zh-CN"/>
        </w:rPr>
        <w:t>日。</w:t>
      </w:r>
    </w:p>
    <w:p w14:paraId="100C216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方式：投标人至“南通师范高等专科学校官网”自行下载。</w:t>
      </w:r>
    </w:p>
    <w:p w14:paraId="100C216F">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四、提交投标文件截止时间、开标时间和地点</w:t>
      </w:r>
    </w:p>
    <w:p w14:paraId="100C2170">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sz w:val="24"/>
          <w:szCs w:val="24"/>
        </w:rPr>
      </w:pPr>
      <w:r>
        <w:rPr>
          <w:rFonts w:hint="eastAsia" w:ascii="宋体" w:hAnsi="宋体" w:cs="宋体"/>
          <w:sz w:val="24"/>
          <w:szCs w:val="24"/>
        </w:rPr>
        <w:t>时间：2026年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11</w:t>
      </w:r>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点</w:t>
      </w:r>
      <w:r>
        <w:rPr>
          <w:rFonts w:hint="eastAsia" w:ascii="宋体" w:hAnsi="宋体" w:cs="宋体"/>
          <w:sz w:val="24"/>
          <w:szCs w:val="24"/>
          <w:lang w:val="en-US" w:eastAsia="zh-CN"/>
        </w:rPr>
        <w:t>30</w:t>
      </w:r>
      <w:r>
        <w:rPr>
          <w:rFonts w:hint="eastAsia" w:ascii="宋体" w:hAnsi="宋体" w:cs="宋体"/>
          <w:sz w:val="24"/>
          <w:szCs w:val="24"/>
        </w:rPr>
        <w:t>分（北京时间）。逾时，</w:t>
      </w:r>
      <w:r>
        <w:rPr>
          <w:rFonts w:hint="eastAsia" w:ascii="宋体" w:hAnsi="宋体" w:cs="宋体"/>
          <w:sz w:val="24"/>
          <w:szCs w:val="24"/>
          <w:lang w:eastAsia="zh-CN"/>
        </w:rPr>
        <w:t>招标人</w:t>
      </w:r>
      <w:r>
        <w:rPr>
          <w:rFonts w:hint="eastAsia" w:ascii="宋体" w:hAnsi="宋体" w:cs="宋体"/>
          <w:sz w:val="24"/>
          <w:szCs w:val="24"/>
        </w:rPr>
        <w:t>和代理机构将拒绝接收投标文件。</w:t>
      </w:r>
    </w:p>
    <w:p w14:paraId="100C217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color w:val="0000FF"/>
          <w:sz w:val="24"/>
          <w:szCs w:val="24"/>
        </w:rPr>
      </w:pPr>
      <w:r>
        <w:rPr>
          <w:rFonts w:hint="eastAsia" w:ascii="宋体" w:hAnsi="宋体" w:cs="宋体"/>
          <w:sz w:val="24"/>
          <w:szCs w:val="24"/>
        </w:rPr>
        <w:t>地点：</w:t>
      </w:r>
      <w:r>
        <w:rPr>
          <w:rFonts w:hint="eastAsia" w:ascii="宋体" w:hAnsi="宋体" w:cs="宋体"/>
          <w:sz w:val="24"/>
          <w:szCs w:val="24"/>
          <w:lang w:val="en-US" w:eastAsia="zh-CN"/>
        </w:rPr>
        <w:t>南通市崇川区崇川路58号南通产业技术研究院9号楼1楼西大厅A101签订处</w:t>
      </w:r>
      <w:r>
        <w:rPr>
          <w:rFonts w:hint="eastAsia" w:ascii="宋体" w:hAnsi="宋体" w:cs="宋体"/>
          <w:color w:val="0000FF"/>
          <w:sz w:val="24"/>
          <w:szCs w:val="24"/>
        </w:rPr>
        <w:t>。</w:t>
      </w:r>
    </w:p>
    <w:p w14:paraId="100C2172">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五、公告期限</w:t>
      </w:r>
    </w:p>
    <w:p w14:paraId="100C217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sz w:val="24"/>
          <w:szCs w:val="24"/>
        </w:rPr>
      </w:pPr>
      <w:r>
        <w:rPr>
          <w:rFonts w:hint="eastAsia" w:ascii="宋体" w:hAnsi="宋体" w:cs="宋体"/>
          <w:sz w:val="24"/>
          <w:szCs w:val="24"/>
        </w:rPr>
        <w:t>自本公告发布之日起5个工作日。</w:t>
      </w:r>
    </w:p>
    <w:p w14:paraId="100C217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六、投标保证金</w:t>
      </w:r>
    </w:p>
    <w:p w14:paraId="51997923">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default" w:ascii="宋体" w:hAnsi="宋体" w:cs="宋体"/>
          <w:spacing w:val="7"/>
          <w:sz w:val="24"/>
          <w:szCs w:val="24"/>
          <w:lang w:val="en-US" w:eastAsia="zh-CN"/>
        </w:rPr>
      </w:pPr>
      <w:r>
        <w:rPr>
          <w:rFonts w:hint="eastAsia" w:ascii="宋体" w:hAnsi="宋体" w:cs="宋体"/>
          <w:spacing w:val="7"/>
          <w:sz w:val="24"/>
          <w:szCs w:val="24"/>
          <w:lang w:val="en-US" w:eastAsia="zh-CN"/>
        </w:rPr>
        <w:t>1.投标保证金金额：20000元/投标单位，具体详见招标文件。</w:t>
      </w:r>
    </w:p>
    <w:p w14:paraId="100C2176">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七、其他补充事宜</w:t>
      </w:r>
    </w:p>
    <w:p w14:paraId="100C217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sz w:val="24"/>
          <w:szCs w:val="24"/>
        </w:rPr>
      </w:pPr>
      <w:r>
        <w:rPr>
          <w:rFonts w:hint="eastAsia" w:ascii="宋体" w:hAnsi="宋体" w:cs="宋体"/>
          <w:sz w:val="24"/>
          <w:szCs w:val="24"/>
        </w:rPr>
        <w:t>1.项目开标活动模式：本项目采用现场开标模式，投标人需在投标截止时间前将纸质投标文件送至招标文件指定地点。</w:t>
      </w:r>
    </w:p>
    <w:p w14:paraId="100C2179">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2.对项目需求部分（投标人其他资格要求、项目需求、评分标准）的询问、</w:t>
      </w:r>
      <w:r>
        <w:rPr>
          <w:rFonts w:hint="eastAsia" w:ascii="宋体" w:hAnsi="宋体" w:cs="宋体"/>
          <w:sz w:val="24"/>
          <w:szCs w:val="24"/>
          <w:lang w:val="en-US" w:eastAsia="zh-CN"/>
        </w:rPr>
        <w:t>询问</w:t>
      </w:r>
      <w:r>
        <w:rPr>
          <w:rFonts w:hint="eastAsia" w:ascii="宋体" w:hAnsi="宋体" w:cs="宋体"/>
          <w:sz w:val="24"/>
          <w:szCs w:val="24"/>
        </w:rPr>
        <w:t>请向</w:t>
      </w:r>
      <w:r>
        <w:rPr>
          <w:rFonts w:hint="eastAsia" w:ascii="宋体" w:hAnsi="宋体" w:cs="宋体"/>
          <w:sz w:val="24"/>
          <w:szCs w:val="24"/>
          <w:lang w:val="en-US" w:eastAsia="zh-CN"/>
        </w:rPr>
        <w:t>招标</w:t>
      </w:r>
      <w:r>
        <w:rPr>
          <w:rFonts w:hint="eastAsia" w:ascii="宋体" w:hAnsi="宋体" w:cs="宋体"/>
          <w:sz w:val="24"/>
          <w:szCs w:val="24"/>
        </w:rPr>
        <w:t>人提出，由</w:t>
      </w:r>
      <w:r>
        <w:rPr>
          <w:rFonts w:hint="eastAsia" w:ascii="宋体" w:hAnsi="宋体" w:cs="宋体"/>
          <w:sz w:val="24"/>
          <w:szCs w:val="24"/>
          <w:lang w:val="en-US" w:eastAsia="zh-CN"/>
        </w:rPr>
        <w:t>招标</w:t>
      </w:r>
      <w:r>
        <w:rPr>
          <w:rFonts w:hint="eastAsia" w:ascii="宋体" w:hAnsi="宋体" w:cs="宋体"/>
          <w:sz w:val="24"/>
          <w:szCs w:val="24"/>
        </w:rPr>
        <w:t>人负责答复；对项目招标文件其他部分的询问请向</w:t>
      </w:r>
      <w:r>
        <w:rPr>
          <w:rFonts w:hint="eastAsia" w:ascii="宋体" w:hAnsi="宋体" w:cs="宋体"/>
          <w:sz w:val="24"/>
          <w:szCs w:val="24"/>
          <w:lang w:val="en-US" w:eastAsia="zh-CN"/>
        </w:rPr>
        <w:t>招标</w:t>
      </w:r>
      <w:r>
        <w:rPr>
          <w:rFonts w:hint="eastAsia" w:ascii="宋体" w:hAnsi="宋体" w:cs="宋体"/>
          <w:sz w:val="24"/>
          <w:szCs w:val="24"/>
        </w:rPr>
        <w:t>代理机构提出。</w:t>
      </w:r>
    </w:p>
    <w:p w14:paraId="3DAB0BC3">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3.本项目可以兼投兼中。</w:t>
      </w:r>
    </w:p>
    <w:p w14:paraId="0A8D0640">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4.</w:t>
      </w:r>
      <w:r>
        <w:rPr>
          <w:rFonts w:hint="eastAsia" w:ascii="宋体" w:hAnsi="宋体" w:cs="宋体"/>
          <w:sz w:val="24"/>
          <w:szCs w:val="24"/>
        </w:rPr>
        <w:t>如为分公司直接参与</w:t>
      </w:r>
      <w:r>
        <w:rPr>
          <w:rFonts w:hint="eastAsia" w:ascii="宋体" w:hAnsi="宋体" w:cs="宋体"/>
          <w:sz w:val="24"/>
          <w:szCs w:val="24"/>
          <w:lang w:val="en-US" w:eastAsia="zh-CN"/>
        </w:rPr>
        <w:t>本项目</w:t>
      </w:r>
      <w:r>
        <w:rPr>
          <w:rFonts w:hint="eastAsia" w:ascii="宋体" w:hAnsi="宋体" w:cs="宋体"/>
          <w:sz w:val="24"/>
          <w:szCs w:val="24"/>
        </w:rPr>
        <w:t>投标的，必须</w:t>
      </w:r>
      <w:r>
        <w:rPr>
          <w:rFonts w:hint="eastAsia" w:ascii="宋体" w:hAnsi="宋体" w:cs="宋体"/>
          <w:sz w:val="24"/>
          <w:szCs w:val="24"/>
          <w:lang w:val="en-US" w:eastAsia="zh-CN"/>
        </w:rPr>
        <w:t>遵守</w:t>
      </w:r>
      <w:r>
        <w:rPr>
          <w:rFonts w:hint="eastAsia" w:ascii="宋体" w:hAnsi="宋体" w:cs="宋体"/>
          <w:sz w:val="24"/>
          <w:szCs w:val="24"/>
        </w:rPr>
        <w:t>《中华人民共和国民法典》第七十四条相关规定，产生的民事责任由</w:t>
      </w:r>
      <w:r>
        <w:rPr>
          <w:rFonts w:hint="eastAsia" w:ascii="宋体" w:hAnsi="宋体" w:cs="宋体"/>
          <w:sz w:val="24"/>
          <w:szCs w:val="24"/>
          <w:lang w:val="en-US" w:eastAsia="zh-CN"/>
        </w:rPr>
        <w:t>其</w:t>
      </w:r>
      <w:r>
        <w:rPr>
          <w:rFonts w:hint="eastAsia" w:ascii="宋体" w:hAnsi="宋体" w:cs="宋体"/>
          <w:sz w:val="24"/>
          <w:szCs w:val="24"/>
        </w:rPr>
        <w:t>法人</w:t>
      </w:r>
      <w:r>
        <w:rPr>
          <w:rFonts w:hint="eastAsia" w:ascii="宋体" w:hAnsi="宋体" w:cs="宋体"/>
          <w:sz w:val="24"/>
          <w:szCs w:val="24"/>
          <w:lang w:val="en-US" w:eastAsia="zh-CN"/>
        </w:rPr>
        <w:t>单位（总公司）</w:t>
      </w:r>
      <w:r>
        <w:rPr>
          <w:rFonts w:hint="eastAsia" w:ascii="宋体" w:hAnsi="宋体" w:cs="宋体"/>
          <w:sz w:val="24"/>
          <w:szCs w:val="24"/>
        </w:rPr>
        <w:t>承担，投标时提供总公司出具</w:t>
      </w:r>
      <w:r>
        <w:rPr>
          <w:rFonts w:hint="eastAsia" w:ascii="宋体" w:hAnsi="宋体" w:cs="宋体"/>
          <w:sz w:val="24"/>
          <w:szCs w:val="24"/>
          <w:lang w:val="en-US" w:eastAsia="zh-CN"/>
        </w:rPr>
        <w:t>授权</w:t>
      </w:r>
      <w:r>
        <w:rPr>
          <w:rFonts w:hint="eastAsia" w:ascii="宋体" w:hAnsi="宋体" w:cs="宋体"/>
          <w:sz w:val="24"/>
          <w:szCs w:val="24"/>
        </w:rPr>
        <w:t>兜底证明；</w:t>
      </w:r>
      <w:r>
        <w:rPr>
          <w:rFonts w:hint="eastAsia" w:ascii="宋体" w:hAnsi="宋体" w:cs="宋体"/>
          <w:sz w:val="24"/>
          <w:szCs w:val="24"/>
          <w:lang w:val="en-US" w:eastAsia="zh-CN"/>
        </w:rPr>
        <w:t>招标</w:t>
      </w:r>
      <w:r>
        <w:rPr>
          <w:rFonts w:hint="eastAsia" w:ascii="宋体" w:hAnsi="宋体" w:cs="宋体"/>
          <w:sz w:val="24"/>
          <w:szCs w:val="24"/>
        </w:rPr>
        <w:t>文件中涉及法定代表人的要求，</w:t>
      </w:r>
      <w:r>
        <w:rPr>
          <w:rFonts w:hint="eastAsia" w:ascii="宋体" w:hAnsi="宋体" w:cs="宋体"/>
          <w:sz w:val="24"/>
          <w:szCs w:val="24"/>
          <w:lang w:val="en-US" w:eastAsia="zh-CN"/>
        </w:rPr>
        <w:t>可</w:t>
      </w:r>
      <w:r>
        <w:rPr>
          <w:rFonts w:hint="eastAsia" w:ascii="宋体" w:hAnsi="宋体" w:cs="宋体"/>
          <w:sz w:val="24"/>
          <w:szCs w:val="24"/>
        </w:rPr>
        <w:t>由分公司负责人替代。</w:t>
      </w:r>
    </w:p>
    <w:p w14:paraId="100C217A">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八、对本次招标提出询问，请按以下方式联系</w:t>
      </w:r>
    </w:p>
    <w:p w14:paraId="6E77498F">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招标单位</w:t>
      </w:r>
      <w:r>
        <w:rPr>
          <w:rFonts w:hint="eastAsia" w:ascii="宋体" w:hAnsi="宋体" w:cs="宋体"/>
          <w:sz w:val="24"/>
          <w:szCs w:val="24"/>
        </w:rPr>
        <w:t>信息</w:t>
      </w:r>
    </w:p>
    <w:p w14:paraId="408DEB2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名称：南通师范高等专科学校</w:t>
      </w:r>
    </w:p>
    <w:p w14:paraId="210894C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联系人：姜老师</w:t>
      </w:r>
    </w:p>
    <w:p w14:paraId="2181F28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联系方式：18061805928</w:t>
      </w:r>
    </w:p>
    <w:p w14:paraId="1D49110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项目需求联系人：</w:t>
      </w:r>
      <w:r>
        <w:rPr>
          <w:rFonts w:hint="eastAsia" w:ascii="宋体" w:hAnsi="宋体" w:cs="宋体"/>
          <w:sz w:val="24"/>
          <w:szCs w:val="24"/>
          <w:lang w:val="en-US" w:eastAsia="zh-CN"/>
        </w:rPr>
        <w:t>姜</w:t>
      </w:r>
      <w:r>
        <w:rPr>
          <w:rFonts w:hint="eastAsia" w:ascii="宋体" w:hAnsi="宋体" w:cs="宋体"/>
          <w:sz w:val="24"/>
          <w:szCs w:val="24"/>
        </w:rPr>
        <w:t>老师</w:t>
      </w:r>
    </w:p>
    <w:p w14:paraId="39B87FF2">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rPr>
        <w:t>联系方式：18061805</w:t>
      </w:r>
      <w:r>
        <w:rPr>
          <w:rFonts w:hint="eastAsia" w:ascii="宋体" w:hAnsi="宋体" w:cs="宋体"/>
          <w:sz w:val="24"/>
          <w:szCs w:val="24"/>
          <w:lang w:val="en-US" w:eastAsia="zh-CN"/>
        </w:rPr>
        <w:t>851</w:t>
      </w:r>
    </w:p>
    <w:p w14:paraId="100C2182">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代理机构信息</w:t>
      </w:r>
    </w:p>
    <w:p w14:paraId="100C218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名称：江苏中润工程建设咨询有限公司</w:t>
      </w:r>
    </w:p>
    <w:p w14:paraId="100C2184">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地址：南通市</w:t>
      </w:r>
      <w:r>
        <w:rPr>
          <w:rFonts w:hint="eastAsia" w:ascii="宋体" w:hAnsi="宋体" w:cs="宋体"/>
          <w:sz w:val="24"/>
          <w:szCs w:val="24"/>
          <w:lang w:val="en-US" w:eastAsia="zh-CN"/>
        </w:rPr>
        <w:t>崇川区</w:t>
      </w:r>
      <w:r>
        <w:rPr>
          <w:rFonts w:hint="eastAsia" w:ascii="宋体" w:hAnsi="宋体" w:cs="宋体"/>
          <w:sz w:val="24"/>
          <w:szCs w:val="24"/>
        </w:rPr>
        <w:t>崇川路58号</w:t>
      </w:r>
    </w:p>
    <w:p w14:paraId="100C218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经办人联系方式：王先生 13906272111</w:t>
      </w:r>
    </w:p>
    <w:p w14:paraId="100C2186">
      <w:pPr>
        <w:spacing w:line="460" w:lineRule="exact"/>
        <w:ind w:firstLine="840" w:firstLineChars="300"/>
        <w:rPr>
          <w:rFonts w:ascii="宋体" w:hAnsi="宋体" w:cs="宋体"/>
          <w:sz w:val="28"/>
          <w:szCs w:val="28"/>
        </w:rPr>
      </w:pPr>
    </w:p>
    <w:p w14:paraId="100C2187">
      <w:pPr>
        <w:spacing w:line="460" w:lineRule="exact"/>
        <w:ind w:firstLine="840" w:firstLineChars="300"/>
        <w:rPr>
          <w:rFonts w:ascii="宋体" w:hAnsi="宋体" w:cs="宋体"/>
          <w:sz w:val="28"/>
          <w:szCs w:val="28"/>
        </w:rPr>
      </w:pPr>
    </w:p>
    <w:p w14:paraId="100C2188">
      <w:pPr>
        <w:pStyle w:val="20"/>
        <w:rPr>
          <w:rFonts w:ascii="宋体" w:hAnsi="宋体" w:cs="宋体"/>
        </w:rPr>
      </w:pPr>
    </w:p>
    <w:p w14:paraId="415C05C1">
      <w:pPr>
        <w:spacing w:line="460" w:lineRule="exact"/>
        <w:jc w:val="center"/>
        <w:rPr>
          <w:rFonts w:hint="eastAsia" w:ascii="宋体" w:hAnsi="宋体" w:cs="宋体"/>
          <w:b/>
          <w:bCs/>
          <w:sz w:val="40"/>
          <w:szCs w:val="40"/>
        </w:rPr>
        <w:sectPr>
          <w:headerReference r:id="rId4" w:type="default"/>
          <w:footerReference r:id="rId5" w:type="default"/>
          <w:pgSz w:w="11906" w:h="16838"/>
          <w:pgMar w:top="1440" w:right="1803" w:bottom="1440" w:left="1803" w:header="851" w:footer="992" w:gutter="0"/>
          <w:cols w:space="0" w:num="1"/>
          <w:docGrid w:type="lines" w:linePitch="319" w:charSpace="0"/>
        </w:sectPr>
      </w:pPr>
    </w:p>
    <w:p w14:paraId="100C218E">
      <w:pPr>
        <w:spacing w:line="460" w:lineRule="exact"/>
        <w:jc w:val="center"/>
        <w:rPr>
          <w:rFonts w:ascii="宋体" w:hAnsi="宋体" w:cs="宋体"/>
          <w:b/>
          <w:bCs/>
          <w:sz w:val="32"/>
          <w:szCs w:val="32"/>
        </w:rPr>
      </w:pPr>
      <w:r>
        <w:rPr>
          <w:rFonts w:hint="eastAsia" w:ascii="宋体" w:hAnsi="宋体" w:cs="宋体"/>
          <w:b/>
          <w:bCs/>
          <w:sz w:val="32"/>
          <w:szCs w:val="32"/>
        </w:rPr>
        <w:t>第二章 投标人须知</w:t>
      </w:r>
    </w:p>
    <w:p w14:paraId="100C218F">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一、说明</w:t>
      </w:r>
    </w:p>
    <w:p w14:paraId="100C2190">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sz w:val="24"/>
          <w:szCs w:val="24"/>
        </w:rPr>
        <w:t>1.</w:t>
      </w:r>
      <w:r>
        <w:rPr>
          <w:rFonts w:hint="eastAsia" w:ascii="宋体" w:hAnsi="宋体" w:cs="宋体"/>
          <w:kern w:val="0"/>
          <w:sz w:val="24"/>
          <w:szCs w:val="24"/>
        </w:rPr>
        <w:t>本招标文件仅适用于</w:t>
      </w:r>
      <w:r>
        <w:rPr>
          <w:rFonts w:hint="eastAsia" w:ascii="宋体" w:hAnsi="宋体" w:cs="宋体"/>
          <w:kern w:val="0"/>
          <w:sz w:val="24"/>
          <w:szCs w:val="24"/>
          <w:lang w:eastAsia="zh-CN"/>
        </w:rPr>
        <w:t>南通师范高等专科学校</w:t>
      </w:r>
      <w:r>
        <w:rPr>
          <w:rFonts w:hint="eastAsia" w:ascii="宋体" w:hAnsi="宋体" w:cs="宋体"/>
          <w:kern w:val="0"/>
          <w:sz w:val="24"/>
          <w:szCs w:val="24"/>
        </w:rPr>
        <w:t>组织的公开招标活动。</w:t>
      </w:r>
    </w:p>
    <w:p w14:paraId="100C2191">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2.公开招标活动及因本次招标产生的合同受中国法律制约和保护。</w:t>
      </w:r>
    </w:p>
    <w:p w14:paraId="100C2192">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kern w:val="0"/>
          <w:sz w:val="24"/>
          <w:szCs w:val="21"/>
        </w:rPr>
        <w:t>招标文件的解释权属于</w:t>
      </w:r>
      <w:r>
        <w:rPr>
          <w:rFonts w:hint="eastAsia" w:ascii="宋体" w:hAnsi="宋体" w:cs="宋体"/>
          <w:kern w:val="0"/>
          <w:sz w:val="24"/>
          <w:szCs w:val="21"/>
          <w:lang w:eastAsia="zh-CN"/>
        </w:rPr>
        <w:t>南通师范高等专科学校</w:t>
      </w:r>
      <w:r>
        <w:rPr>
          <w:rFonts w:hint="eastAsia" w:ascii="宋体" w:hAnsi="宋体" w:cs="宋体"/>
          <w:sz w:val="24"/>
          <w:szCs w:val="24"/>
        </w:rPr>
        <w:t>。</w:t>
      </w:r>
    </w:p>
    <w:p w14:paraId="100C2193">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4.投标人下载招标文件后，应仔细检查招标文件的所有内容，如有内容或页码短缺、资格要求和技术参数含有倾向性或排他性等表述的，应在</w:t>
      </w:r>
      <w:r>
        <w:rPr>
          <w:rFonts w:hint="eastAsia" w:ascii="宋体" w:hAnsi="宋体" w:cs="宋体"/>
          <w:sz w:val="24"/>
          <w:szCs w:val="24"/>
          <w:lang w:val="en-US" w:eastAsia="zh-CN"/>
        </w:rPr>
        <w:t>开标截止时间前15日内，</w:t>
      </w:r>
      <w:r>
        <w:rPr>
          <w:rFonts w:hint="eastAsia" w:ascii="宋体" w:hAnsi="宋体" w:cs="宋体"/>
          <w:sz w:val="24"/>
          <w:szCs w:val="24"/>
        </w:rPr>
        <w:t>以书面形式</w:t>
      </w:r>
      <w:r>
        <w:rPr>
          <w:rFonts w:hint="eastAsia" w:ascii="宋体" w:hAnsi="宋体" w:cs="宋体"/>
          <w:sz w:val="24"/>
          <w:szCs w:val="24"/>
          <w:lang w:val="en-US" w:eastAsia="zh-CN"/>
        </w:rPr>
        <w:t>向招标人或代理机构</w:t>
      </w:r>
      <w:r>
        <w:rPr>
          <w:rFonts w:hint="eastAsia" w:ascii="宋体" w:hAnsi="宋体" w:cs="宋体"/>
          <w:sz w:val="24"/>
          <w:szCs w:val="24"/>
        </w:rPr>
        <w:t>提出询问或疑问，未在规定的</w:t>
      </w:r>
      <w:r>
        <w:rPr>
          <w:rFonts w:hint="eastAsia" w:ascii="宋体" w:hAnsi="宋体" w:cs="宋体"/>
          <w:sz w:val="24"/>
          <w:szCs w:val="24"/>
          <w:lang w:val="en-US" w:eastAsia="zh-CN"/>
        </w:rPr>
        <w:t>时间</w:t>
      </w:r>
      <w:r>
        <w:rPr>
          <w:rFonts w:hint="eastAsia" w:ascii="宋体" w:hAnsi="宋体" w:cs="宋体"/>
          <w:sz w:val="24"/>
          <w:szCs w:val="24"/>
        </w:rPr>
        <w:t xml:space="preserve">内提出询问或疑问的，视同投标人理解并接受本招标文件所有内容，并由此引起的损失自负。投标人不得在招标结束后针对招标文件所有内容提出质疑事项。非书面形式的不作为日后质疑提出的依据。    </w:t>
      </w:r>
    </w:p>
    <w:p w14:paraId="100C2194">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5.投标人应认真审阅招标文件中所有的事项、格式、条款和规范要求等，如果投标人没有按照招标文件要求提交投标文件，或者投标文件没有对招标文件作出实质性响应，将被拒绝参与投标。</w:t>
      </w:r>
    </w:p>
    <w:p w14:paraId="100C2195">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二、招标文件的补充说明、澄清、修改、答疑</w:t>
      </w:r>
    </w:p>
    <w:p w14:paraId="100C2196">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outlineLvl w:val="1"/>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招标人</w:t>
      </w:r>
      <w:r>
        <w:rPr>
          <w:rFonts w:hint="eastAsia" w:ascii="宋体" w:hAnsi="宋体" w:cs="宋体"/>
          <w:sz w:val="24"/>
          <w:szCs w:val="24"/>
        </w:rPr>
        <w:t>有权对发出的招标文件进行必要的补充说明、澄清或修改。</w:t>
      </w:r>
    </w:p>
    <w:p w14:paraId="100C2197">
      <w:pPr>
        <w:keepNext w:val="0"/>
        <w:keepLines w:val="0"/>
        <w:pageBreakBefore w:val="0"/>
        <w:widowControl w:val="0"/>
        <w:kinsoku/>
        <w:wordWrap/>
        <w:overflowPunct/>
        <w:topLinePunct w:val="0"/>
        <w:autoSpaceDE/>
        <w:autoSpaceDN/>
        <w:bidi w:val="0"/>
        <w:snapToGrid w:val="0"/>
        <w:spacing w:line="480" w:lineRule="exact"/>
        <w:ind w:firstLine="480" w:firstLineChars="200"/>
        <w:jc w:val="left"/>
        <w:textAlignment w:val="auto"/>
        <w:rPr>
          <w:rFonts w:ascii="宋体" w:hAnsi="宋体" w:cs="宋体"/>
          <w:kern w:val="0"/>
          <w:sz w:val="24"/>
          <w:szCs w:val="24"/>
        </w:rPr>
      </w:pPr>
      <w:r>
        <w:rPr>
          <w:rFonts w:hint="eastAsia" w:ascii="宋体" w:hAnsi="宋体" w:cs="宋体"/>
          <w:sz w:val="24"/>
          <w:szCs w:val="24"/>
        </w:rPr>
        <w:t>2.</w:t>
      </w:r>
      <w:r>
        <w:rPr>
          <w:rFonts w:hint="eastAsia" w:ascii="宋体" w:hAnsi="宋体" w:cs="宋体"/>
          <w:kern w:val="0"/>
          <w:sz w:val="24"/>
          <w:szCs w:val="24"/>
        </w:rPr>
        <w:t>招标文件的澄清、修改、补充等内容均以书面明确的形式发布，且以在</w:t>
      </w:r>
      <w:r>
        <w:rPr>
          <w:rFonts w:hint="eastAsia" w:ascii="宋体" w:hAnsi="宋体" w:cs="宋体"/>
          <w:kern w:val="0"/>
          <w:sz w:val="24"/>
          <w:szCs w:val="24"/>
          <w:lang w:eastAsia="zh-CN"/>
        </w:rPr>
        <w:t>南通师范高等专科学校网站</w:t>
      </w:r>
      <w:r>
        <w:rPr>
          <w:rFonts w:hint="eastAsia" w:ascii="宋体" w:hAnsi="宋体" w:cs="宋体"/>
          <w:kern w:val="0"/>
          <w:sz w:val="24"/>
          <w:szCs w:val="24"/>
        </w:rPr>
        <w:t>发布的信息为准。</w:t>
      </w:r>
    </w:p>
    <w:p w14:paraId="100C2198">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3.代理机构对招标文件的补充说明、澄清或修改，将构成招标文件的一部分，对投标人具有约束力。</w:t>
      </w:r>
    </w:p>
    <w:p w14:paraId="100C2199">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4.</w:t>
      </w:r>
      <w:r>
        <w:rPr>
          <w:rFonts w:ascii="宋体" w:hAnsi="宋体" w:eastAsia="宋体" w:cs="宋体"/>
          <w:sz w:val="24"/>
          <w:szCs w:val="24"/>
        </w:rPr>
        <w:t>补充说明、澄清、修改的内容可能影响到响应文件编制的，代理机构将在提交首次响应文件截止之日</w:t>
      </w:r>
      <w:r>
        <w:rPr>
          <w:rStyle w:val="60"/>
          <w:rFonts w:ascii="宋体" w:hAnsi="宋体" w:eastAsia="宋体" w:cs="宋体"/>
          <w:color w:val="1F2329"/>
          <w:sz w:val="24"/>
          <w:szCs w:val="24"/>
        </w:rPr>
        <w:t>15日前</w:t>
      </w:r>
      <w:r>
        <w:rPr>
          <w:rFonts w:ascii="宋体" w:hAnsi="宋体" w:eastAsia="宋体" w:cs="宋体"/>
          <w:sz w:val="24"/>
          <w:szCs w:val="24"/>
        </w:rPr>
        <w:t>发布补充公告；自公告发布至投标截止不足 15 日的，应当顺延提交投标文件截止之日，确保间隔不少于15个日历天。</w:t>
      </w:r>
    </w:p>
    <w:p w14:paraId="100C219A">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5.除非代理机构以书面的形式对招标文件作出澄清、修改及补充，投标人对涉及招标文件的任何推论、理解和结论所造成的结果，均由投标人自负。</w:t>
      </w:r>
    </w:p>
    <w:p w14:paraId="100C219B">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6.</w:t>
      </w:r>
      <w:r>
        <w:rPr>
          <w:rFonts w:hint="eastAsia" w:ascii="宋体" w:hAnsi="宋体" w:cs="宋体"/>
          <w:kern w:val="0"/>
          <w:sz w:val="24"/>
          <w:szCs w:val="24"/>
          <w:lang w:eastAsia="zh-CN"/>
        </w:rPr>
        <w:t>招标人</w:t>
      </w:r>
      <w:r>
        <w:rPr>
          <w:rFonts w:hint="eastAsia" w:ascii="宋体" w:hAnsi="宋体" w:cs="宋体"/>
          <w:kern w:val="0"/>
          <w:sz w:val="24"/>
          <w:szCs w:val="24"/>
        </w:rPr>
        <w:t>视情组织答疑会。如有答疑且对招标文件内容有修改，代理机构将按照本须知有关规定，以补充通知（公告）的方式发出。</w:t>
      </w:r>
    </w:p>
    <w:p w14:paraId="100C219C">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三、投标文件的组成及装订</w:t>
      </w:r>
    </w:p>
    <w:p w14:paraId="100C219D">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1.投标文件由：（1）资格审查文件、（2）价格标、（3）电子响应文件共三部分组成。</w:t>
      </w:r>
    </w:p>
    <w:p w14:paraId="100C219E">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投标人按招标文件要求编写纸质投标文件，并牢固装订成册。投标文件均需采用A4纸（图纸等除外），不允许使用活页夹、拉杆夹、文件夹、塑料方便式书脊（插入式或穿孔式）装订。投标文件不得行间插字、涂改、增删，如修改错漏处，须经签署投标文件的投标人法定代表人或其委托的代理人（以下称被授权人）签字（或盖章）并加盖公章。</w:t>
      </w:r>
    </w:p>
    <w:p w14:paraId="100C219F">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3.纸质投标文件的 “资格审查文件”“价格标”各自装订成册。特别提示：“价格标”必须单独装订和封装，不得出现在“资格审查文件”之中（</w:t>
      </w:r>
      <w:r>
        <w:rPr>
          <w:rFonts w:hint="eastAsia" w:ascii="宋体" w:hAnsi="宋体" w:cs="宋体"/>
          <w:b/>
          <w:bCs/>
          <w:sz w:val="24"/>
          <w:szCs w:val="24"/>
        </w:rPr>
        <w:t>两部分均分开单独密封</w:t>
      </w:r>
      <w:r>
        <w:rPr>
          <w:rFonts w:hint="eastAsia" w:ascii="宋体" w:hAnsi="宋体" w:cs="宋体"/>
          <w:sz w:val="24"/>
          <w:szCs w:val="24"/>
        </w:rPr>
        <w:t>）。</w:t>
      </w:r>
    </w:p>
    <w:p w14:paraId="100C21A0">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4.资格审查文件</w:t>
      </w:r>
      <w:r>
        <w:rPr>
          <w:rFonts w:hint="eastAsia" w:ascii="宋体" w:hAnsi="宋体" w:cs="宋体"/>
          <w:b/>
          <w:bCs/>
          <w:sz w:val="24"/>
          <w:szCs w:val="24"/>
          <w:lang w:eastAsia="zh-CN"/>
        </w:rPr>
        <w:t>、</w:t>
      </w:r>
      <w:r>
        <w:rPr>
          <w:rFonts w:hint="eastAsia" w:ascii="宋体" w:hAnsi="宋体" w:cs="宋体"/>
          <w:b/>
          <w:bCs/>
          <w:sz w:val="24"/>
          <w:szCs w:val="24"/>
        </w:rPr>
        <w:t>价格标文件无需分标段递交</w:t>
      </w:r>
      <w:r>
        <w:rPr>
          <w:rFonts w:hint="eastAsia" w:ascii="宋体" w:hAnsi="宋体" w:cs="宋体"/>
          <w:b/>
          <w:bCs/>
          <w:sz w:val="24"/>
          <w:szCs w:val="24"/>
          <w:lang w:eastAsia="zh-CN"/>
        </w:rPr>
        <w:t>。</w:t>
      </w:r>
    </w:p>
    <w:p w14:paraId="100C21A1">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四、投标文件的份数、签署</w:t>
      </w:r>
    </w:p>
    <w:p w14:paraId="100C21A2">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1.“资格审查文件”“价格标”应</w:t>
      </w:r>
      <w:r>
        <w:rPr>
          <w:rFonts w:hint="eastAsia" w:ascii="宋体" w:hAnsi="宋体" w:cs="宋体"/>
          <w:sz w:val="24"/>
          <w:szCs w:val="24"/>
          <w:lang w:val="en-US" w:eastAsia="zh-CN"/>
        </w:rPr>
        <w:t>分别</w:t>
      </w:r>
      <w:r>
        <w:rPr>
          <w:rFonts w:hint="eastAsia" w:ascii="宋体" w:hAnsi="宋体" w:cs="宋体"/>
          <w:sz w:val="24"/>
          <w:szCs w:val="24"/>
        </w:rPr>
        <w:t>准备</w:t>
      </w:r>
      <w:r>
        <w:rPr>
          <w:rFonts w:hint="eastAsia" w:ascii="宋体" w:hAnsi="宋体" w:cs="宋体"/>
          <w:sz w:val="24"/>
          <w:szCs w:val="24"/>
          <w:u w:val="single"/>
        </w:rPr>
        <w:t xml:space="preserve"> 叁 </w:t>
      </w:r>
      <w:r>
        <w:rPr>
          <w:rFonts w:hint="eastAsia" w:ascii="宋体" w:hAnsi="宋体" w:cs="宋体"/>
          <w:sz w:val="24"/>
          <w:szCs w:val="24"/>
        </w:rPr>
        <w:t>份完整的纸质投标文件，其中正本</w:t>
      </w:r>
      <w:r>
        <w:rPr>
          <w:rFonts w:hint="eastAsia" w:ascii="宋体" w:hAnsi="宋体" w:cs="宋体"/>
          <w:sz w:val="24"/>
          <w:szCs w:val="24"/>
          <w:u w:val="single"/>
        </w:rPr>
        <w:t xml:space="preserve"> 壹 </w:t>
      </w:r>
      <w:r>
        <w:rPr>
          <w:rFonts w:hint="eastAsia" w:ascii="宋体" w:hAnsi="宋体" w:cs="宋体"/>
          <w:sz w:val="24"/>
          <w:szCs w:val="24"/>
        </w:rPr>
        <w:t>份，副本</w:t>
      </w:r>
      <w:r>
        <w:rPr>
          <w:rFonts w:hint="eastAsia" w:ascii="宋体" w:hAnsi="宋体" w:cs="宋体"/>
          <w:sz w:val="24"/>
          <w:szCs w:val="24"/>
          <w:u w:val="single"/>
        </w:rPr>
        <w:t xml:space="preserve"> 贰 </w:t>
      </w:r>
      <w:r>
        <w:rPr>
          <w:rFonts w:hint="eastAsia" w:ascii="宋体" w:hAnsi="宋体" w:cs="宋体"/>
          <w:sz w:val="24"/>
          <w:szCs w:val="24"/>
        </w:rPr>
        <w:t>份，并标明“正本”或“副本”字样，若有差异，概以“正本”为准。</w:t>
      </w:r>
    </w:p>
    <w:p w14:paraId="100C21A3">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2.纸质投标文件分两册密封。第一册为“资格审查文件”，第二册为“价格标”，投标文件的第一册、第二册应分别密封，并在封袋上标明“资格审查文件”“价格标”。</w:t>
      </w:r>
    </w:p>
    <w:p w14:paraId="100C21A4">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3.投标人可将投标文件</w:t>
      </w:r>
      <w:r>
        <w:rPr>
          <w:rFonts w:hint="eastAsia" w:ascii="宋体" w:hAnsi="宋体" w:cs="宋体"/>
          <w:sz w:val="24"/>
          <w:szCs w:val="24"/>
          <w:lang w:val="en-US" w:eastAsia="zh-CN"/>
        </w:rPr>
        <w:t>每一部分的</w:t>
      </w:r>
      <w:r>
        <w:rPr>
          <w:rFonts w:hint="eastAsia" w:ascii="宋体" w:hAnsi="宋体" w:cs="宋体"/>
          <w:sz w:val="24"/>
          <w:szCs w:val="24"/>
        </w:rPr>
        <w:t>正副本统一密封或分别密封，如正本和副本分别密封的，应在封袋上标明正、副本字样。</w:t>
      </w:r>
    </w:p>
    <w:p w14:paraId="100C21A5">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 xml:space="preserve">4.投标文件正本须按招标文件要求由法定代表人或被授权人签字或盖章并加盖投标单位印章。副本可复印，但须加盖投标单位印章。  </w:t>
      </w:r>
    </w:p>
    <w:p w14:paraId="100C21A6">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5.</w:t>
      </w:r>
      <w:r>
        <w:rPr>
          <w:rFonts w:hint="eastAsia" w:ascii="宋体" w:hAnsi="宋体" w:cs="宋体"/>
          <w:b/>
          <w:bCs/>
          <w:sz w:val="24"/>
          <w:szCs w:val="24"/>
        </w:rPr>
        <w:t>本项目要求提供电子投标文件一份，电子投标文件的内容为资格审查文件、价格标文件打印盖章（或电子签章）后的投标文件扫描件，拷贝在U盘中单独密封提交。</w:t>
      </w:r>
    </w:p>
    <w:p w14:paraId="100C21A7">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6.开标程序顺利进行后，所有投标文件都将作为档案保存，不论中标与否，</w:t>
      </w:r>
      <w:r>
        <w:rPr>
          <w:rFonts w:hint="eastAsia" w:ascii="宋体" w:hAnsi="宋体" w:cs="宋体"/>
          <w:sz w:val="24"/>
          <w:szCs w:val="24"/>
          <w:lang w:eastAsia="zh-CN"/>
        </w:rPr>
        <w:t>招标人</w:t>
      </w:r>
      <w:r>
        <w:rPr>
          <w:rFonts w:hint="eastAsia" w:ascii="宋体" w:hAnsi="宋体" w:cs="宋体"/>
          <w:sz w:val="24"/>
          <w:szCs w:val="24"/>
        </w:rPr>
        <w:t>均不退回（未拆封的除外）。</w:t>
      </w:r>
    </w:p>
    <w:p w14:paraId="100C21A8">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五、投标响应文件的密封及标记</w:t>
      </w:r>
    </w:p>
    <w:p w14:paraId="100C21A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ascii="宋体" w:hAnsi="宋体" w:cs="宋体"/>
          <w:b/>
          <w:bCs/>
          <w:sz w:val="24"/>
          <w:szCs w:val="24"/>
        </w:rPr>
      </w:pPr>
      <w:r>
        <w:rPr>
          <w:rFonts w:hint="eastAsia" w:ascii="宋体" w:hAnsi="宋体" w:cs="宋体"/>
          <w:sz w:val="24"/>
          <w:szCs w:val="24"/>
        </w:rPr>
        <w:t>密封后，应在每一密封包的投标文件上明确标注投标项目名称、项目编号、投标文件各自对应的名称、所投标段、投标人全称及日期，同时加盖投标人公章。</w:t>
      </w:r>
      <w:r>
        <w:rPr>
          <w:rFonts w:hint="eastAsia" w:ascii="宋体" w:hAnsi="宋体" w:cs="宋体"/>
          <w:b/>
          <w:bCs/>
          <w:sz w:val="24"/>
          <w:szCs w:val="24"/>
        </w:rPr>
        <w:t>本项目投标文件的装订、密封是否完好以不泄露投标文件内容和不影响评委评审为主要判断依据。</w:t>
      </w:r>
    </w:p>
    <w:p w14:paraId="100C21AA">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六、投标文件的有效期</w:t>
      </w:r>
    </w:p>
    <w:p w14:paraId="100C21AB">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1.从投标文件接收截止之日算起，</w:t>
      </w:r>
      <w:r>
        <w:rPr>
          <w:rFonts w:hint="eastAsia" w:ascii="宋体" w:hAnsi="宋体" w:cs="宋体"/>
          <w:bCs/>
          <w:sz w:val="24"/>
          <w:szCs w:val="24"/>
        </w:rPr>
        <w:t>90</w:t>
      </w:r>
      <w:r>
        <w:rPr>
          <w:rFonts w:hint="eastAsia" w:ascii="宋体" w:hAnsi="宋体" w:cs="宋体"/>
          <w:sz w:val="24"/>
          <w:szCs w:val="24"/>
        </w:rPr>
        <w:t>个“日历天”内投标书应保持有效。有效期短于这个规定期限的，投标将被拒绝。</w:t>
      </w:r>
    </w:p>
    <w:p w14:paraId="100C21AC">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outlineLvl w:val="1"/>
        <w:rPr>
          <w:rFonts w:ascii="宋体" w:hAnsi="宋体" w:cs="宋体"/>
          <w:b/>
          <w:bCs/>
          <w:sz w:val="24"/>
          <w:szCs w:val="24"/>
        </w:rPr>
      </w:pPr>
      <w:r>
        <w:rPr>
          <w:rFonts w:hint="eastAsia" w:ascii="宋体" w:hAnsi="宋体" w:cs="宋体"/>
          <w:sz w:val="24"/>
          <w:szCs w:val="24"/>
        </w:rPr>
        <w:t>2.在特殊情况下，</w:t>
      </w:r>
      <w:r>
        <w:rPr>
          <w:rFonts w:hint="eastAsia" w:ascii="宋体" w:hAnsi="宋体" w:cs="宋体"/>
          <w:sz w:val="24"/>
          <w:szCs w:val="24"/>
          <w:lang w:eastAsia="zh-CN"/>
        </w:rPr>
        <w:t>招标人</w:t>
      </w:r>
      <w:r>
        <w:rPr>
          <w:rFonts w:hint="eastAsia" w:ascii="宋体" w:hAnsi="宋体" w:cs="宋体"/>
          <w:sz w:val="24"/>
          <w:szCs w:val="24"/>
        </w:rPr>
        <w:t>可与投标人协商延长投标书的有效期。这种要求和答复都应以书面、传真或电报的形式进行。同意延长有效期的投标人不能修改投标文件。</w:t>
      </w:r>
    </w:p>
    <w:p w14:paraId="100C21AD">
      <w:pPr>
        <w:keepNext w:val="0"/>
        <w:keepLines w:val="0"/>
        <w:pageBreakBefore w:val="0"/>
        <w:widowControl w:val="0"/>
        <w:kinsoku/>
        <w:wordWrap/>
        <w:overflowPunct/>
        <w:topLinePunct w:val="0"/>
        <w:autoSpaceDE/>
        <w:autoSpaceDN/>
        <w:bidi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七、投标报价</w:t>
      </w:r>
    </w:p>
    <w:p w14:paraId="100C21AE">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1.本项目不接受任何有选择的报价。</w:t>
      </w:r>
    </w:p>
    <w:p w14:paraId="100C21AF">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2.投标报价均以人民币为报价的币种。</w:t>
      </w:r>
    </w:p>
    <w:p w14:paraId="100C21B0">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3.报价必须加盖投标人公章且必须经法定代表人或被授权人签字或盖章。</w:t>
      </w:r>
    </w:p>
    <w:p w14:paraId="100C21B1">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outlineLvl w:val="1"/>
        <w:rPr>
          <w:rFonts w:ascii="宋体" w:hAnsi="宋体" w:cs="宋体"/>
          <w:sz w:val="24"/>
          <w:szCs w:val="24"/>
        </w:rPr>
      </w:pPr>
      <w:r>
        <w:rPr>
          <w:rFonts w:hint="eastAsia" w:ascii="宋体" w:hAnsi="宋体" w:cs="宋体"/>
          <w:sz w:val="24"/>
          <w:szCs w:val="24"/>
        </w:rPr>
        <w:t>4.一次性报价在合同实施期间不因市场变化因素而变动。</w:t>
      </w:r>
    </w:p>
    <w:p w14:paraId="100C21B2">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5.投标人应详细阅读招标文件的全部内容，根据招标项目需求，准确制定相关工作方案等，不按招标文件的要求提供投标文件，导致报价无效，按无效标处理。</w:t>
      </w:r>
    </w:p>
    <w:p w14:paraId="100C21B3">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lang w:val="zh-CN"/>
        </w:rPr>
      </w:pPr>
      <w:r>
        <w:rPr>
          <w:rFonts w:hint="eastAsia" w:ascii="宋体" w:hAnsi="宋体" w:cs="宋体"/>
          <w:b/>
          <w:bCs/>
          <w:sz w:val="24"/>
          <w:szCs w:val="24"/>
          <w:lang w:val="zh-CN"/>
        </w:rPr>
        <w:t>八、投标费用</w:t>
      </w:r>
    </w:p>
    <w:p w14:paraId="100C21B4">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1.无论招标过程和结果如何，投标人自行承担与本次项目招标有关的全部费用。投标人承担参与投标可能发生的全部费用，</w:t>
      </w:r>
      <w:r>
        <w:rPr>
          <w:rFonts w:hint="eastAsia" w:ascii="宋体" w:hAnsi="宋体" w:cs="宋体"/>
          <w:sz w:val="24"/>
          <w:szCs w:val="24"/>
          <w:lang w:eastAsia="zh-CN"/>
        </w:rPr>
        <w:t>招标人</w:t>
      </w:r>
      <w:r>
        <w:rPr>
          <w:rFonts w:hint="eastAsia" w:ascii="宋体" w:hAnsi="宋体" w:cs="宋体"/>
          <w:sz w:val="24"/>
          <w:szCs w:val="24"/>
        </w:rPr>
        <w:t xml:space="preserve">在任何情况下均无义务和责任承担这些费用。 </w:t>
      </w:r>
    </w:p>
    <w:p w14:paraId="049BE7E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2.本项目招标代理费收取标准以各标段</w:t>
      </w:r>
      <w:r>
        <w:rPr>
          <w:rFonts w:hint="eastAsia" w:ascii="宋体" w:hAnsi="宋体" w:cs="宋体"/>
          <w:sz w:val="24"/>
          <w:szCs w:val="24"/>
          <w:lang w:val="en-US" w:eastAsia="zh-CN"/>
        </w:rPr>
        <w:t>代理费收取计费基数*</w:t>
      </w:r>
      <w:r>
        <w:rPr>
          <w:rFonts w:hint="eastAsia" w:ascii="宋体" w:hAnsi="宋体" w:cs="宋体"/>
          <w:sz w:val="24"/>
          <w:szCs w:val="24"/>
        </w:rPr>
        <w:t>中标折扣为基准，</w:t>
      </w:r>
      <w:r>
        <w:rPr>
          <w:rFonts w:hint="eastAsia" w:ascii="宋体" w:hAnsi="宋体" w:cs="宋体"/>
          <w:sz w:val="24"/>
          <w:szCs w:val="24"/>
          <w:lang w:val="en-US" w:eastAsia="zh-CN"/>
        </w:rPr>
        <w:t>对照相应</w:t>
      </w:r>
      <w:r>
        <w:rPr>
          <w:rFonts w:hint="eastAsia" w:ascii="宋体" w:hAnsi="宋体" w:cs="宋体"/>
          <w:sz w:val="24"/>
          <w:szCs w:val="24"/>
        </w:rPr>
        <w:t>招标代理收费费率</w:t>
      </w:r>
      <w:r>
        <w:rPr>
          <w:rFonts w:hint="eastAsia" w:ascii="宋体" w:hAnsi="宋体" w:cs="宋体"/>
          <w:sz w:val="24"/>
          <w:szCs w:val="24"/>
          <w:lang w:eastAsia="zh-CN"/>
        </w:rPr>
        <w:t>【（</w:t>
      </w:r>
      <w:r>
        <w:rPr>
          <w:rFonts w:hint="eastAsia" w:ascii="宋体" w:hAnsi="宋体" w:cs="宋体"/>
          <w:sz w:val="24"/>
          <w:szCs w:val="24"/>
          <w:lang w:val="en-US" w:eastAsia="zh-CN"/>
        </w:rPr>
        <w:t>2002）1980号文45%。最高15000元，最低2000元】</w:t>
      </w:r>
      <w:r>
        <w:rPr>
          <w:rFonts w:hint="eastAsia" w:ascii="宋体" w:hAnsi="宋体" w:cs="宋体"/>
          <w:sz w:val="24"/>
          <w:szCs w:val="24"/>
        </w:rPr>
        <w:t>，由</w:t>
      </w:r>
      <w:r>
        <w:rPr>
          <w:rFonts w:hint="eastAsia" w:ascii="宋体" w:hAnsi="宋体" w:cs="宋体"/>
          <w:sz w:val="24"/>
          <w:szCs w:val="24"/>
          <w:lang w:val="en-US" w:eastAsia="zh-CN"/>
        </w:rPr>
        <w:t>各标段</w:t>
      </w:r>
      <w:r>
        <w:rPr>
          <w:rFonts w:hint="eastAsia" w:ascii="宋体" w:hAnsi="宋体" w:cs="宋体"/>
          <w:sz w:val="24"/>
          <w:szCs w:val="24"/>
        </w:rPr>
        <w:t>中标人支付，投标供应商综合考虑在报价内（不单列）。</w:t>
      </w:r>
    </w:p>
    <w:p w14:paraId="100C21CE">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lang w:val="zh-CN"/>
        </w:rPr>
      </w:pPr>
      <w:r>
        <w:rPr>
          <w:rFonts w:hint="eastAsia" w:ascii="宋体" w:hAnsi="宋体" w:cs="宋体"/>
          <w:sz w:val="24"/>
          <w:szCs w:val="24"/>
          <w:lang w:val="zh-CN"/>
        </w:rPr>
        <w:t>支付要求：中标人在中标结果公告期满、领取中标通知书前，一次性足额向采购代理机构缴纳代理服务费；代理机构收到费用后开具合法有效票据。</w:t>
      </w:r>
    </w:p>
    <w:p w14:paraId="100C21C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lang w:val="zh-CN"/>
        </w:rPr>
        <w:t>因中标人原因导致中标结果变更或取消中标资格等，代理费不予退还。</w:t>
      </w:r>
      <w:r>
        <w:rPr>
          <w:rFonts w:hint="eastAsia" w:ascii="宋体" w:hAnsi="宋体" w:cs="宋体"/>
          <w:sz w:val="24"/>
          <w:szCs w:val="24"/>
        </w:rPr>
        <w:t xml:space="preserve">  </w:t>
      </w:r>
    </w:p>
    <w:p w14:paraId="08EAF87A">
      <w:pPr>
        <w:keepNext w:val="0"/>
        <w:keepLines w:val="0"/>
        <w:pageBreakBefore w:val="0"/>
        <w:widowControl w:val="0"/>
        <w:numPr>
          <w:ilvl w:val="0"/>
          <w:numId w:val="0"/>
        </w:numPr>
        <w:kinsoku/>
        <w:wordWrap/>
        <w:overflowPunct/>
        <w:topLinePunct w:val="0"/>
        <w:autoSpaceDE/>
        <w:autoSpaceDN/>
        <w:bidi w:val="0"/>
        <w:adjustRightInd/>
        <w:spacing w:line="480" w:lineRule="exact"/>
        <w:ind w:firstLine="482" w:firstLineChars="200"/>
        <w:textAlignment w:val="auto"/>
        <w:rPr>
          <w:rFonts w:hint="eastAsia" w:ascii="宋体" w:hAnsi="宋体" w:cs="宋体"/>
          <w:b/>
          <w:bCs/>
          <w:sz w:val="24"/>
          <w:szCs w:val="24"/>
        </w:rPr>
      </w:pPr>
      <w:r>
        <w:rPr>
          <w:rFonts w:hint="eastAsia" w:ascii="宋体" w:hAnsi="宋体" w:eastAsia="宋体" w:cs="宋体"/>
          <w:b/>
          <w:bCs/>
          <w:kern w:val="2"/>
          <w:sz w:val="24"/>
          <w:szCs w:val="24"/>
          <w:lang w:val="en-US" w:eastAsia="zh-CN" w:bidi="ar-SA"/>
        </w:rPr>
        <w:t>九、</w:t>
      </w:r>
      <w:r>
        <w:rPr>
          <w:rFonts w:hint="eastAsia" w:ascii="宋体" w:hAnsi="宋体" w:cs="宋体"/>
          <w:b/>
          <w:bCs/>
          <w:sz w:val="24"/>
          <w:szCs w:val="24"/>
        </w:rPr>
        <w:t>投标保证金：</w:t>
      </w:r>
    </w:p>
    <w:p w14:paraId="15F96E0B">
      <w:pPr>
        <w:keepNext w:val="0"/>
        <w:keepLines w:val="0"/>
        <w:pageBreakBefore w:val="0"/>
        <w:widowControl w:val="0"/>
        <w:numPr>
          <w:ilvl w:val="0"/>
          <w:numId w:val="0"/>
        </w:numPr>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kern w:val="2"/>
          <w:sz w:val="24"/>
          <w:szCs w:val="24"/>
          <w:lang w:val="en-US" w:eastAsia="zh-CN" w:bidi="ar-SA"/>
        </w:rPr>
        <w:t>1.金额：</w:t>
      </w:r>
      <w:r>
        <w:rPr>
          <w:rFonts w:hint="eastAsia" w:ascii="宋体" w:hAnsi="宋体" w:cs="宋体"/>
          <w:spacing w:val="7"/>
          <w:sz w:val="24"/>
          <w:szCs w:val="24"/>
          <w:lang w:val="en-US" w:eastAsia="zh-CN"/>
        </w:rPr>
        <w:t>人民币贰万元整/投标单位。</w:t>
      </w:r>
    </w:p>
    <w:p w14:paraId="5A3EC556">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2.保证金交纳方式：银行汇票或转账支票，与投标文件提交截止时间同步。未按规定时间、数额提交保证金的，不具备本项目参与资格。</w:t>
      </w:r>
    </w:p>
    <w:p w14:paraId="0136901F">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3.中标单位投标保证金在缴纳履约保证金并签订合同后退还，中标单位未按照中标通知书的约定缴纳履约保证金、签订合同的，投标保证金不予退还。未中标单位投标保证当场退还。</w:t>
      </w:r>
    </w:p>
    <w:p w14:paraId="60E4AEA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4.投标保证金账户信息：</w:t>
      </w:r>
    </w:p>
    <w:p w14:paraId="356A3D88">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收款单位：南通市财政局</w:t>
      </w:r>
    </w:p>
    <w:p w14:paraId="373974E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账号：1111820109000058268</w:t>
      </w:r>
    </w:p>
    <w:p w14:paraId="241F5E1B">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开户行：工行青年路支行</w:t>
      </w:r>
    </w:p>
    <w:p w14:paraId="7E935A3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备注：通师高专大宗食材项目</w:t>
      </w:r>
    </w:p>
    <w:p w14:paraId="1D022EA5">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汇款单位须与投标单位名称一致，否则将作为投标单位未按招标文件规定缴纳投标保证金。</w:t>
      </w:r>
    </w:p>
    <w:p w14:paraId="100C21D1">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十、投标文件递交时间及地址</w:t>
      </w:r>
    </w:p>
    <w:p w14:paraId="100C21D2">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投标人必须在规定的时间将投标文件送达指定地点。</w:t>
      </w:r>
      <w:r>
        <w:rPr>
          <w:rFonts w:hint="eastAsia" w:ascii="宋体" w:hAnsi="宋体" w:cs="宋体"/>
          <w:sz w:val="24"/>
          <w:szCs w:val="24"/>
          <w:lang w:eastAsia="zh-CN"/>
        </w:rPr>
        <w:t>招标人</w:t>
      </w:r>
      <w:r>
        <w:rPr>
          <w:rFonts w:hint="eastAsia" w:ascii="宋体" w:hAnsi="宋体" w:cs="宋体"/>
          <w:sz w:val="24"/>
          <w:szCs w:val="24"/>
        </w:rPr>
        <w:t>将拒绝接收在截止时间后递交的投标文件。</w:t>
      </w:r>
    </w:p>
    <w:p w14:paraId="100C21D3">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十一、未尽事宜</w:t>
      </w:r>
    </w:p>
    <w:p w14:paraId="100C21D4">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本项目为非政府采购项目，按</w:t>
      </w:r>
      <w:r>
        <w:rPr>
          <w:rFonts w:hint="eastAsia" w:ascii="宋体" w:hAnsi="宋体" w:cs="宋体"/>
          <w:sz w:val="24"/>
          <w:szCs w:val="24"/>
          <w:lang w:eastAsia="zh-CN"/>
        </w:rPr>
        <w:t>南通师范高等专科学校</w:t>
      </w:r>
      <w:r>
        <w:rPr>
          <w:rFonts w:hint="eastAsia" w:ascii="宋体" w:hAnsi="宋体" w:cs="宋体"/>
          <w:sz w:val="24"/>
          <w:szCs w:val="24"/>
        </w:rPr>
        <w:t>采购管理规定执行。</w:t>
      </w:r>
    </w:p>
    <w:p w14:paraId="100C21D5">
      <w:pPr>
        <w:spacing w:line="460" w:lineRule="exact"/>
        <w:ind w:firstLine="560" w:firstLineChars="200"/>
        <w:rPr>
          <w:rFonts w:ascii="宋体" w:hAnsi="宋体" w:cs="宋体"/>
          <w:sz w:val="28"/>
          <w:szCs w:val="28"/>
        </w:rPr>
      </w:pPr>
    </w:p>
    <w:p w14:paraId="5C6D1B43">
      <w:pPr>
        <w:spacing w:line="460" w:lineRule="exact"/>
        <w:jc w:val="center"/>
        <w:rPr>
          <w:rFonts w:hint="eastAsia" w:ascii="宋体" w:hAnsi="宋体" w:cs="宋体"/>
          <w:b/>
          <w:bCs/>
          <w:sz w:val="40"/>
          <w:szCs w:val="40"/>
        </w:rPr>
        <w:sectPr>
          <w:pgSz w:w="11906" w:h="16838"/>
          <w:pgMar w:top="1440" w:right="1803" w:bottom="1440" w:left="1803" w:header="851" w:footer="992" w:gutter="0"/>
          <w:cols w:space="0" w:num="1"/>
          <w:docGrid w:type="lines" w:linePitch="319" w:charSpace="0"/>
        </w:sectPr>
      </w:pPr>
      <w:bookmarkStart w:id="3" w:name="_Hlk45537591"/>
    </w:p>
    <w:p w14:paraId="100C21D9">
      <w:pPr>
        <w:spacing w:line="460" w:lineRule="exact"/>
        <w:jc w:val="center"/>
        <w:rPr>
          <w:rFonts w:ascii="宋体" w:hAnsi="宋体" w:cs="宋体"/>
          <w:b/>
          <w:bCs/>
          <w:sz w:val="40"/>
          <w:szCs w:val="40"/>
        </w:rPr>
      </w:pPr>
      <w:r>
        <w:rPr>
          <w:rFonts w:hint="eastAsia" w:ascii="宋体" w:hAnsi="宋体" w:cs="宋体"/>
          <w:b/>
          <w:bCs/>
          <w:sz w:val="32"/>
          <w:szCs w:val="32"/>
        </w:rPr>
        <w:t>第三章  项目需求</w:t>
      </w:r>
    </w:p>
    <w:bookmarkEnd w:id="1"/>
    <w:p w14:paraId="686C8D6C">
      <w:pPr>
        <w:spacing w:line="460" w:lineRule="exact"/>
        <w:ind w:firstLine="562" w:firstLineChars="200"/>
        <w:rPr>
          <w:rFonts w:hint="eastAsia" w:ascii="宋体" w:hAnsi="宋体" w:cs="宋体"/>
          <w:b/>
          <w:bCs/>
          <w:sz w:val="28"/>
          <w:szCs w:val="28"/>
        </w:rPr>
      </w:pPr>
      <w:bookmarkStart w:id="4" w:name="_Toc182848971"/>
    </w:p>
    <w:p w14:paraId="100C21DA">
      <w:pPr>
        <w:spacing w:line="460" w:lineRule="exact"/>
        <w:ind w:firstLine="482" w:firstLineChars="200"/>
        <w:rPr>
          <w:rFonts w:ascii="宋体" w:hAnsi="宋体" w:cs="宋体"/>
          <w:sz w:val="24"/>
          <w:szCs w:val="24"/>
        </w:rPr>
      </w:pPr>
      <w:r>
        <w:rPr>
          <w:rFonts w:hint="eastAsia" w:ascii="宋体" w:hAnsi="宋体" w:cs="宋体"/>
          <w:b/>
          <w:bCs/>
          <w:sz w:val="24"/>
          <w:szCs w:val="24"/>
        </w:rPr>
        <w:t>投标人在制作投标文件时仔细研究项目需求说明。项目需求包括技术要求和商务要求：技术要求是指对采购标的功能和质量要求，包括性能、材料、结构、外观、安全，或者服务内容和标准等；商务要求是指取得采购标的的时间、地点、财务和服务要求，包括交付（实施）的时间（期限）和地点（范围），付款条件（进度和方法），包装和运输，售后服务，保险等。</w:t>
      </w:r>
    </w:p>
    <w:bookmarkEnd w:id="3"/>
    <w:bookmarkEnd w:id="4"/>
    <w:p w14:paraId="100C21DB">
      <w:pPr>
        <w:spacing w:line="460" w:lineRule="exact"/>
        <w:ind w:firstLine="482" w:firstLineChars="200"/>
        <w:outlineLvl w:val="0"/>
        <w:rPr>
          <w:rFonts w:ascii="宋体" w:hAnsi="宋体"/>
          <w:b/>
          <w:sz w:val="24"/>
          <w:szCs w:val="24"/>
        </w:rPr>
      </w:pPr>
      <w:r>
        <w:rPr>
          <w:rFonts w:hint="eastAsia" w:ascii="宋体" w:hAnsi="宋体"/>
          <w:b/>
          <w:sz w:val="24"/>
          <w:szCs w:val="24"/>
        </w:rPr>
        <w:t>一、项目概况</w:t>
      </w:r>
    </w:p>
    <w:p w14:paraId="100C21DC">
      <w:pPr>
        <w:spacing w:line="460" w:lineRule="exact"/>
        <w:ind w:firstLine="480" w:firstLineChars="200"/>
        <w:rPr>
          <w:rFonts w:ascii="宋体" w:hAnsi="宋体" w:eastAsia="宋体" w:cs="宋体"/>
          <w:sz w:val="24"/>
          <w:szCs w:val="24"/>
        </w:rPr>
      </w:pPr>
      <w:r>
        <w:rPr>
          <w:rFonts w:hint="eastAsia" w:ascii="宋体" w:hAnsi="宋体" w:eastAsia="宋体" w:cs="宋体"/>
          <w:sz w:val="24"/>
          <w:szCs w:val="24"/>
        </w:rPr>
        <w:t>学校现有全日制在校生近</w:t>
      </w:r>
      <w:r>
        <w:rPr>
          <w:rFonts w:hint="eastAsia" w:ascii="宋体" w:hAnsi="宋体" w:eastAsia="宋体" w:cs="宋体"/>
          <w:sz w:val="24"/>
          <w:szCs w:val="24"/>
          <w:lang w:val="en-US" w:eastAsia="zh-CN"/>
        </w:rPr>
        <w:t>6500</w:t>
      </w:r>
      <w:r>
        <w:rPr>
          <w:rFonts w:hint="eastAsia" w:ascii="宋体" w:hAnsi="宋体" w:eastAsia="宋体" w:cs="宋体"/>
          <w:sz w:val="24"/>
          <w:szCs w:val="24"/>
        </w:rPr>
        <w:t>人</w:t>
      </w:r>
      <w:r>
        <w:rPr>
          <w:rFonts w:ascii="宋体" w:hAnsi="宋体" w:eastAsia="宋体" w:cs="宋体"/>
          <w:sz w:val="24"/>
          <w:szCs w:val="24"/>
        </w:rPr>
        <w:t>，教职工</w:t>
      </w:r>
      <w:r>
        <w:rPr>
          <w:rFonts w:hint="eastAsia" w:ascii="宋体" w:hAnsi="宋体" w:eastAsia="宋体" w:cs="宋体"/>
          <w:sz w:val="24"/>
          <w:szCs w:val="24"/>
          <w:lang w:val="en-US" w:eastAsia="zh-CN"/>
        </w:rPr>
        <w:t>420</w:t>
      </w:r>
      <w:r>
        <w:rPr>
          <w:rFonts w:ascii="宋体" w:hAnsi="宋体" w:eastAsia="宋体" w:cs="宋体"/>
          <w:sz w:val="24"/>
          <w:szCs w:val="24"/>
        </w:rPr>
        <w:t>余人，</w:t>
      </w:r>
      <w:r>
        <w:rPr>
          <w:rFonts w:hint="eastAsia" w:ascii="宋体" w:hAnsi="宋体" w:eastAsia="宋体" w:cs="宋体"/>
          <w:sz w:val="24"/>
          <w:szCs w:val="24"/>
        </w:rPr>
        <w:t>校本部共有</w:t>
      </w:r>
      <w:r>
        <w:rPr>
          <w:rFonts w:hint="eastAsia" w:ascii="宋体" w:hAnsi="宋体" w:eastAsia="宋体" w:cs="宋体"/>
          <w:sz w:val="24"/>
          <w:szCs w:val="24"/>
          <w:lang w:val="en-US" w:eastAsia="zh-CN"/>
        </w:rPr>
        <w:t>2</w:t>
      </w:r>
      <w:r>
        <w:rPr>
          <w:rFonts w:hint="eastAsia" w:ascii="宋体" w:hAnsi="宋体" w:eastAsia="宋体" w:cs="宋体"/>
          <w:sz w:val="24"/>
          <w:szCs w:val="24"/>
        </w:rPr>
        <w:t>个学生食堂，</w:t>
      </w:r>
      <w:r>
        <w:rPr>
          <w:rFonts w:hint="eastAsia" w:ascii="宋体" w:hAnsi="宋体" w:eastAsia="宋体" w:cs="宋体"/>
          <w:sz w:val="24"/>
          <w:szCs w:val="24"/>
          <w:lang w:val="en-US" w:eastAsia="zh-CN"/>
        </w:rPr>
        <w:t>1</w:t>
      </w:r>
      <w:r>
        <w:rPr>
          <w:rFonts w:hint="eastAsia" w:ascii="宋体" w:hAnsi="宋体" w:eastAsia="宋体" w:cs="宋体"/>
          <w:sz w:val="24"/>
          <w:szCs w:val="24"/>
        </w:rPr>
        <w:t>个教工食堂。</w:t>
      </w:r>
      <w:r>
        <w:rPr>
          <w:rFonts w:ascii="宋体" w:hAnsi="宋体" w:eastAsia="宋体" w:cs="宋体"/>
          <w:sz w:val="24"/>
          <w:szCs w:val="24"/>
        </w:rPr>
        <w:t>就餐人数会因寒暑假、新生入学、实习离校产生浮动，数据仅作为投标成本测算参考，投标方应充分考虑人数波动、就餐结构变化带来的供货量浮动风险，所有成本风险自行纳入报价。</w:t>
      </w:r>
    </w:p>
    <w:p w14:paraId="100C21DD">
      <w:pPr>
        <w:spacing w:line="460" w:lineRule="exact"/>
        <w:ind w:firstLine="482" w:firstLineChars="200"/>
        <w:outlineLvl w:val="0"/>
        <w:rPr>
          <w:rFonts w:ascii="宋体" w:hAnsi="宋体"/>
          <w:b/>
          <w:sz w:val="24"/>
          <w:szCs w:val="24"/>
        </w:rPr>
      </w:pPr>
      <w:r>
        <w:rPr>
          <w:rFonts w:hint="eastAsia" w:ascii="宋体" w:hAnsi="宋体"/>
          <w:b/>
          <w:sz w:val="24"/>
          <w:szCs w:val="24"/>
        </w:rPr>
        <w:t>二、采购标的需执行的国家相关标准、行业标准、地方标准或者其他标准、规范</w:t>
      </w:r>
    </w:p>
    <w:p w14:paraId="100C21DE">
      <w:pPr>
        <w:spacing w:line="460" w:lineRule="exact"/>
        <w:ind w:firstLine="480" w:firstLineChars="200"/>
        <w:rPr>
          <w:rFonts w:ascii="宋体" w:hAnsi="宋体"/>
          <w:sz w:val="24"/>
          <w:szCs w:val="24"/>
        </w:rPr>
      </w:pPr>
      <w:r>
        <w:rPr>
          <w:rFonts w:hint="eastAsia" w:ascii="宋体" w:hAnsi="宋体"/>
          <w:sz w:val="24"/>
          <w:szCs w:val="24"/>
        </w:rPr>
        <w:t>所供食品原材料质量指标：符合国家食品安全标准。</w:t>
      </w:r>
    </w:p>
    <w:p w14:paraId="1BA84BA3">
      <w:pPr>
        <w:spacing w:line="460" w:lineRule="exact"/>
        <w:ind w:firstLine="482" w:firstLineChars="200"/>
        <w:outlineLvl w:val="0"/>
        <w:rPr>
          <w:rFonts w:ascii="宋体" w:hAnsi="宋体"/>
          <w:b/>
          <w:sz w:val="24"/>
          <w:szCs w:val="24"/>
        </w:rPr>
      </w:pPr>
      <w:r>
        <w:rPr>
          <w:rFonts w:hint="eastAsia" w:ascii="宋体" w:hAnsi="宋体"/>
          <w:b/>
          <w:sz w:val="24"/>
          <w:szCs w:val="24"/>
        </w:rPr>
        <w:t>三、项目标段</w:t>
      </w:r>
    </w:p>
    <w:p w14:paraId="6BB4C937">
      <w:pPr>
        <w:spacing w:line="460" w:lineRule="exact"/>
        <w:ind w:firstLine="482" w:firstLineChars="200"/>
        <w:outlineLvl w:val="1"/>
        <w:rPr>
          <w:rFonts w:hint="eastAsia" w:ascii="宋体" w:hAnsi="宋体" w:eastAsia="宋体"/>
          <w:b/>
          <w:sz w:val="24"/>
          <w:szCs w:val="24"/>
          <w:lang w:eastAsia="zh-CN"/>
        </w:rPr>
      </w:pPr>
      <w:r>
        <w:rPr>
          <w:rFonts w:hint="eastAsia" w:ascii="宋体" w:hAnsi="宋体"/>
          <w:b/>
          <w:sz w:val="24"/>
          <w:szCs w:val="24"/>
        </w:rPr>
        <w:t>（一）</w:t>
      </w:r>
      <w:r>
        <w:rPr>
          <w:rFonts w:ascii="宋体" w:hAnsi="宋体"/>
          <w:b/>
          <w:sz w:val="24"/>
          <w:szCs w:val="24"/>
        </w:rPr>
        <w:t>本次采购共</w:t>
      </w:r>
      <w:r>
        <w:rPr>
          <w:rFonts w:hint="eastAsia" w:ascii="宋体" w:hAnsi="宋体"/>
          <w:b/>
          <w:sz w:val="24"/>
          <w:szCs w:val="24"/>
          <w:lang w:val="en-US" w:eastAsia="zh-CN"/>
        </w:rPr>
        <w:t>3</w:t>
      </w:r>
      <w:r>
        <w:rPr>
          <w:rFonts w:ascii="宋体" w:hAnsi="宋体"/>
          <w:b/>
          <w:sz w:val="24"/>
          <w:szCs w:val="24"/>
        </w:rPr>
        <w:t>个标段</w:t>
      </w:r>
    </w:p>
    <w:tbl>
      <w:tblPr>
        <w:tblStyle w:val="57"/>
        <w:tblW w:w="8799" w:type="dxa"/>
        <w:tblInd w:w="0" w:type="dxa"/>
        <w:tblLayout w:type="fixed"/>
        <w:tblCellMar>
          <w:top w:w="0" w:type="dxa"/>
          <w:left w:w="108" w:type="dxa"/>
          <w:bottom w:w="0" w:type="dxa"/>
          <w:right w:w="108" w:type="dxa"/>
        </w:tblCellMar>
      </w:tblPr>
      <w:tblGrid>
        <w:gridCol w:w="1514"/>
        <w:gridCol w:w="2195"/>
        <w:gridCol w:w="2090"/>
        <w:gridCol w:w="3000"/>
      </w:tblGrid>
      <w:tr w14:paraId="29C086AC">
        <w:trPr>
          <w:trHeight w:val="624" w:hRule="atLeast"/>
        </w:trPr>
        <w:tc>
          <w:tcPr>
            <w:tcW w:w="1514" w:type="dxa"/>
            <w:tcBorders>
              <w:top w:val="single" w:color="auto" w:sz="4" w:space="0"/>
              <w:left w:val="single" w:color="auto" w:sz="4" w:space="0"/>
              <w:bottom w:val="single" w:color="auto" w:sz="4" w:space="0"/>
              <w:right w:val="single" w:color="auto" w:sz="4" w:space="0"/>
            </w:tcBorders>
            <w:noWrap w:val="0"/>
            <w:vAlign w:val="center"/>
          </w:tcPr>
          <w:p w14:paraId="77B7CED3">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标段序号</w:t>
            </w:r>
          </w:p>
        </w:tc>
        <w:tc>
          <w:tcPr>
            <w:tcW w:w="2195" w:type="dxa"/>
            <w:tcBorders>
              <w:top w:val="single" w:color="auto" w:sz="4" w:space="0"/>
              <w:left w:val="nil"/>
              <w:bottom w:val="single" w:color="auto" w:sz="4" w:space="0"/>
              <w:right w:val="single" w:color="auto" w:sz="4" w:space="0"/>
            </w:tcBorders>
            <w:noWrap w:val="0"/>
            <w:vAlign w:val="center"/>
          </w:tcPr>
          <w:p w14:paraId="319CD4D9">
            <w:pPr>
              <w:spacing w:after="0"/>
              <w:jc w:val="center"/>
              <w:rPr>
                <w:rFonts w:hint="eastAsia" w:ascii="仿宋" w:hAnsi="仿宋" w:eastAsia="仿宋" w:cs="仿宋"/>
                <w:b/>
                <w:bCs/>
                <w:sz w:val="22"/>
                <w:szCs w:val="22"/>
                <w:lang w:eastAsia="zh-CN"/>
              </w:rPr>
            </w:pPr>
            <w:r>
              <w:rPr>
                <w:rFonts w:hint="eastAsia" w:ascii="仿宋" w:hAnsi="仿宋" w:eastAsia="仿宋" w:cs="仿宋"/>
                <w:b/>
                <w:bCs/>
                <w:sz w:val="22"/>
                <w:szCs w:val="22"/>
              </w:rPr>
              <w:t>标</w:t>
            </w:r>
            <w:r>
              <w:rPr>
                <w:rFonts w:hint="eastAsia" w:ascii="仿宋" w:hAnsi="仿宋" w:eastAsia="仿宋" w:cs="仿宋"/>
                <w:b/>
                <w:bCs/>
                <w:sz w:val="22"/>
                <w:szCs w:val="22"/>
                <w:lang w:val="en-US" w:eastAsia="zh-CN"/>
              </w:rPr>
              <w:t>的内容</w:t>
            </w:r>
          </w:p>
        </w:tc>
        <w:tc>
          <w:tcPr>
            <w:tcW w:w="2090" w:type="dxa"/>
            <w:tcBorders>
              <w:top w:val="single" w:color="auto" w:sz="4" w:space="0"/>
              <w:left w:val="nil"/>
              <w:bottom w:val="single" w:color="auto" w:sz="4" w:space="0"/>
              <w:right w:val="single" w:color="auto" w:sz="4" w:space="0"/>
            </w:tcBorders>
            <w:noWrap w:val="0"/>
            <w:vAlign w:val="center"/>
          </w:tcPr>
          <w:p w14:paraId="0420F964">
            <w:pPr>
              <w:keepNext w:val="0"/>
              <w:keepLines w:val="0"/>
              <w:pageBreakBefore w:val="0"/>
              <w:kinsoku/>
              <w:overflowPunct/>
              <w:topLinePunct w:val="0"/>
              <w:bidi w:val="0"/>
              <w:spacing w:after="0" w:line="300" w:lineRule="auto"/>
              <w:jc w:val="center"/>
              <w:textAlignment w:val="auto"/>
              <w:rPr>
                <w:rFonts w:hint="eastAsia" w:ascii="仿宋" w:hAnsi="仿宋" w:eastAsia="仿宋" w:cs="仿宋"/>
                <w:b/>
                <w:bCs/>
                <w:sz w:val="22"/>
                <w:szCs w:val="22"/>
              </w:rPr>
            </w:pPr>
            <w:r>
              <w:rPr>
                <w:rFonts w:hint="eastAsia" w:ascii="仿宋" w:hAnsi="仿宋" w:eastAsia="仿宋" w:cs="仿宋"/>
                <w:b/>
                <w:bCs/>
                <w:spacing w:val="7"/>
                <w:sz w:val="22"/>
                <w:szCs w:val="22"/>
              </w:rPr>
              <w:t>年度</w:t>
            </w:r>
            <w:r>
              <w:rPr>
                <w:rFonts w:hint="eastAsia" w:ascii="仿宋" w:hAnsi="仿宋" w:eastAsia="仿宋" w:cs="仿宋"/>
                <w:b/>
                <w:bCs/>
                <w:spacing w:val="7"/>
                <w:sz w:val="22"/>
                <w:szCs w:val="22"/>
                <w:lang w:val="en-US" w:eastAsia="zh-CN"/>
              </w:rPr>
              <w:t>预估采购量</w:t>
            </w:r>
            <w:r>
              <w:rPr>
                <w:rFonts w:hint="eastAsia" w:ascii="仿宋" w:hAnsi="仿宋" w:eastAsia="仿宋" w:cs="仿宋"/>
                <w:b/>
                <w:bCs/>
                <w:spacing w:val="7"/>
                <w:sz w:val="22"/>
                <w:szCs w:val="22"/>
              </w:rPr>
              <w:t>（万元）</w:t>
            </w:r>
          </w:p>
        </w:tc>
        <w:tc>
          <w:tcPr>
            <w:tcW w:w="3000" w:type="dxa"/>
            <w:tcBorders>
              <w:top w:val="single" w:color="auto" w:sz="4" w:space="0"/>
              <w:left w:val="nil"/>
              <w:bottom w:val="single" w:color="auto" w:sz="4" w:space="0"/>
              <w:right w:val="single" w:color="auto" w:sz="4" w:space="0"/>
            </w:tcBorders>
            <w:noWrap w:val="0"/>
            <w:vAlign w:val="center"/>
          </w:tcPr>
          <w:p w14:paraId="416790FA">
            <w:pPr>
              <w:keepNext w:val="0"/>
              <w:keepLines w:val="0"/>
              <w:pageBreakBefore w:val="0"/>
              <w:kinsoku/>
              <w:overflowPunct/>
              <w:topLinePunct w:val="0"/>
              <w:bidi w:val="0"/>
              <w:spacing w:after="0" w:line="300" w:lineRule="auto"/>
              <w:jc w:val="center"/>
              <w:textAlignment w:val="auto"/>
              <w:rPr>
                <w:rFonts w:hint="eastAsia" w:ascii="仿宋" w:hAnsi="仿宋" w:eastAsia="仿宋" w:cs="仿宋"/>
                <w:b/>
                <w:bCs/>
                <w:sz w:val="22"/>
                <w:szCs w:val="22"/>
              </w:rPr>
            </w:pPr>
            <w:r>
              <w:rPr>
                <w:rFonts w:hint="eastAsia" w:ascii="仿宋" w:hAnsi="仿宋" w:eastAsia="仿宋" w:cs="仿宋"/>
                <w:b/>
                <w:bCs/>
                <w:spacing w:val="7"/>
                <w:sz w:val="22"/>
                <w:szCs w:val="22"/>
              </w:rPr>
              <w:t>备注</w:t>
            </w:r>
          </w:p>
        </w:tc>
      </w:tr>
      <w:tr w14:paraId="2C536AD9">
        <w:tblPrEx>
          <w:tblCellMar>
            <w:top w:w="0" w:type="dxa"/>
            <w:left w:w="108" w:type="dxa"/>
            <w:bottom w:w="0" w:type="dxa"/>
            <w:right w:w="108" w:type="dxa"/>
          </w:tblCellMar>
        </w:tblPrEx>
        <w:trPr>
          <w:trHeight w:val="624" w:hRule="atLeast"/>
        </w:trPr>
        <w:tc>
          <w:tcPr>
            <w:tcW w:w="1514" w:type="dxa"/>
            <w:tcBorders>
              <w:top w:val="nil"/>
              <w:left w:val="single" w:color="auto" w:sz="4" w:space="0"/>
              <w:bottom w:val="single" w:color="auto" w:sz="4" w:space="0"/>
              <w:right w:val="single" w:color="auto" w:sz="4" w:space="0"/>
            </w:tcBorders>
            <w:noWrap w:val="0"/>
            <w:vAlign w:val="center"/>
          </w:tcPr>
          <w:p w14:paraId="71F43DB5">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标段2</w:t>
            </w:r>
          </w:p>
        </w:tc>
        <w:tc>
          <w:tcPr>
            <w:tcW w:w="2195" w:type="dxa"/>
            <w:tcBorders>
              <w:top w:val="nil"/>
              <w:left w:val="nil"/>
              <w:bottom w:val="single" w:color="auto" w:sz="4" w:space="0"/>
              <w:right w:val="single" w:color="auto" w:sz="4" w:space="0"/>
            </w:tcBorders>
            <w:noWrap w:val="0"/>
            <w:vAlign w:val="center"/>
          </w:tcPr>
          <w:p w14:paraId="2A180757">
            <w:pPr>
              <w:spacing w:after="0"/>
              <w:jc w:val="center"/>
              <w:rPr>
                <w:rFonts w:hint="eastAsia" w:ascii="仿宋" w:hAnsi="仿宋" w:eastAsia="仿宋" w:cs="仿宋"/>
                <w:sz w:val="22"/>
                <w:szCs w:val="22"/>
              </w:rPr>
            </w:pPr>
            <w:r>
              <w:rPr>
                <w:rFonts w:hint="eastAsia" w:ascii="仿宋" w:hAnsi="仿宋" w:eastAsia="仿宋" w:cs="仿宋"/>
                <w:sz w:val="22"/>
                <w:szCs w:val="22"/>
              </w:rPr>
              <w:t>面粉</w:t>
            </w:r>
          </w:p>
        </w:tc>
        <w:tc>
          <w:tcPr>
            <w:tcW w:w="2090" w:type="dxa"/>
            <w:tcBorders>
              <w:top w:val="nil"/>
              <w:left w:val="nil"/>
              <w:bottom w:val="single" w:color="auto" w:sz="4" w:space="0"/>
              <w:right w:val="single" w:color="auto" w:sz="4" w:space="0"/>
            </w:tcBorders>
            <w:noWrap w:val="0"/>
            <w:vAlign w:val="center"/>
          </w:tcPr>
          <w:p w14:paraId="2922ED74">
            <w:pPr>
              <w:keepNext w:val="0"/>
              <w:keepLines w:val="0"/>
              <w:pageBreakBefore w:val="0"/>
              <w:kinsoku/>
              <w:overflowPunct/>
              <w:topLinePunct w:val="0"/>
              <w:bidi w:val="0"/>
              <w:spacing w:after="0" w:line="300" w:lineRule="auto"/>
              <w:jc w:val="center"/>
              <w:textAlignment w:val="auto"/>
              <w:rPr>
                <w:rFonts w:hint="eastAsia" w:ascii="仿宋" w:hAnsi="仿宋" w:eastAsia="仿宋" w:cs="仿宋"/>
                <w:sz w:val="22"/>
                <w:szCs w:val="22"/>
              </w:rPr>
            </w:pPr>
            <w:r>
              <w:rPr>
                <w:rFonts w:hint="eastAsia" w:ascii="仿宋" w:hAnsi="仿宋" w:eastAsia="仿宋" w:cs="仿宋"/>
                <w:spacing w:val="7"/>
                <w:sz w:val="22"/>
                <w:szCs w:val="22"/>
              </w:rPr>
              <w:t>10</w:t>
            </w:r>
          </w:p>
        </w:tc>
        <w:tc>
          <w:tcPr>
            <w:tcW w:w="3000" w:type="dxa"/>
            <w:tcBorders>
              <w:top w:val="nil"/>
              <w:left w:val="nil"/>
              <w:bottom w:val="single" w:color="auto" w:sz="4" w:space="0"/>
              <w:right w:val="single" w:color="auto" w:sz="4" w:space="0"/>
            </w:tcBorders>
            <w:noWrap w:val="0"/>
            <w:vAlign w:val="center"/>
          </w:tcPr>
          <w:p w14:paraId="14596042">
            <w:pPr>
              <w:keepNext w:val="0"/>
              <w:keepLines w:val="0"/>
              <w:pageBreakBefore w:val="0"/>
              <w:kinsoku/>
              <w:overflowPunct/>
              <w:topLinePunct w:val="0"/>
              <w:bidi w:val="0"/>
              <w:spacing w:after="0" w:line="300" w:lineRule="auto"/>
              <w:jc w:val="left"/>
              <w:textAlignment w:val="auto"/>
              <w:rPr>
                <w:rFonts w:hint="eastAsia" w:ascii="仿宋" w:hAnsi="仿宋" w:eastAsia="仿宋" w:cs="仿宋"/>
                <w:sz w:val="22"/>
                <w:szCs w:val="22"/>
              </w:rPr>
            </w:pPr>
            <w:r>
              <w:rPr>
                <w:rFonts w:hint="eastAsia" w:ascii="仿宋" w:hAnsi="仿宋" w:eastAsia="仿宋" w:cs="仿宋"/>
                <w:spacing w:val="7"/>
                <w:sz w:val="22"/>
                <w:szCs w:val="22"/>
              </w:rPr>
              <w:t>面粉约3.8万斤</w:t>
            </w:r>
          </w:p>
        </w:tc>
      </w:tr>
      <w:tr w14:paraId="2ECB4FB7">
        <w:tblPrEx>
          <w:tblCellMar>
            <w:top w:w="0" w:type="dxa"/>
            <w:left w:w="108" w:type="dxa"/>
            <w:bottom w:w="0" w:type="dxa"/>
            <w:right w:w="108" w:type="dxa"/>
          </w:tblCellMar>
        </w:tblPrEx>
        <w:trPr>
          <w:trHeight w:val="624" w:hRule="atLeast"/>
        </w:trPr>
        <w:tc>
          <w:tcPr>
            <w:tcW w:w="1514" w:type="dxa"/>
            <w:tcBorders>
              <w:top w:val="single" w:color="auto" w:sz="4" w:space="0"/>
              <w:left w:val="single" w:color="auto" w:sz="4" w:space="0"/>
              <w:bottom w:val="single" w:color="auto" w:sz="4" w:space="0"/>
              <w:right w:val="single" w:color="auto" w:sz="4" w:space="0"/>
            </w:tcBorders>
            <w:noWrap w:val="0"/>
            <w:vAlign w:val="center"/>
          </w:tcPr>
          <w:p w14:paraId="6B095B91">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标段5</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0430FF22">
            <w:pPr>
              <w:spacing w:after="0"/>
              <w:jc w:val="center"/>
              <w:rPr>
                <w:rFonts w:hint="eastAsia" w:ascii="仿宋" w:hAnsi="仿宋" w:eastAsia="仿宋" w:cs="仿宋"/>
                <w:sz w:val="22"/>
                <w:szCs w:val="22"/>
              </w:rPr>
            </w:pPr>
            <w:r>
              <w:rPr>
                <w:rFonts w:hint="eastAsia" w:ascii="仿宋" w:hAnsi="仿宋" w:eastAsia="仿宋" w:cs="仿宋"/>
                <w:sz w:val="22"/>
                <w:szCs w:val="22"/>
              </w:rPr>
              <w:t>鸡蛋</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443144AC">
            <w:pPr>
              <w:keepNext w:val="0"/>
              <w:keepLines w:val="0"/>
              <w:pageBreakBefore w:val="0"/>
              <w:kinsoku/>
              <w:overflowPunct/>
              <w:topLinePunct w:val="0"/>
              <w:bidi w:val="0"/>
              <w:spacing w:after="0" w:line="300" w:lineRule="auto"/>
              <w:jc w:val="center"/>
              <w:textAlignment w:val="auto"/>
              <w:rPr>
                <w:rFonts w:hint="eastAsia" w:ascii="仿宋" w:hAnsi="仿宋" w:eastAsia="仿宋" w:cs="仿宋"/>
                <w:sz w:val="22"/>
                <w:szCs w:val="22"/>
              </w:rPr>
            </w:pPr>
            <w:r>
              <w:rPr>
                <w:rFonts w:hint="eastAsia" w:ascii="仿宋" w:hAnsi="仿宋" w:eastAsia="仿宋" w:cs="仿宋"/>
                <w:spacing w:val="7"/>
                <w:sz w:val="22"/>
                <w:szCs w:val="22"/>
              </w:rPr>
              <w:t>25</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126D5D73">
            <w:pPr>
              <w:keepNext w:val="0"/>
              <w:keepLines w:val="0"/>
              <w:pageBreakBefore w:val="0"/>
              <w:kinsoku/>
              <w:overflowPunct/>
              <w:topLinePunct w:val="0"/>
              <w:bidi w:val="0"/>
              <w:spacing w:after="0" w:line="300" w:lineRule="auto"/>
              <w:jc w:val="left"/>
              <w:textAlignment w:val="auto"/>
              <w:rPr>
                <w:rFonts w:hint="eastAsia" w:ascii="仿宋" w:hAnsi="仿宋" w:eastAsia="仿宋" w:cs="仿宋"/>
                <w:sz w:val="22"/>
                <w:szCs w:val="22"/>
              </w:rPr>
            </w:pPr>
            <w:r>
              <w:rPr>
                <w:rFonts w:hint="eastAsia" w:ascii="仿宋" w:hAnsi="仿宋" w:eastAsia="仿宋" w:cs="仿宋"/>
                <w:spacing w:val="7"/>
                <w:sz w:val="22"/>
                <w:szCs w:val="22"/>
              </w:rPr>
              <w:t>鸡蛋约8.5万斤</w:t>
            </w:r>
          </w:p>
        </w:tc>
      </w:tr>
      <w:tr w14:paraId="68BAB5F5">
        <w:tblPrEx>
          <w:tblCellMar>
            <w:top w:w="0" w:type="dxa"/>
            <w:left w:w="108" w:type="dxa"/>
            <w:bottom w:w="0" w:type="dxa"/>
            <w:right w:w="108" w:type="dxa"/>
          </w:tblCellMar>
        </w:tblPrEx>
        <w:trPr>
          <w:trHeight w:val="624" w:hRule="atLeast"/>
        </w:trPr>
        <w:tc>
          <w:tcPr>
            <w:tcW w:w="1514" w:type="dxa"/>
            <w:tcBorders>
              <w:top w:val="single" w:color="auto" w:sz="4" w:space="0"/>
              <w:left w:val="single" w:color="auto" w:sz="4" w:space="0"/>
              <w:bottom w:val="single" w:color="auto" w:sz="4" w:space="0"/>
              <w:right w:val="single" w:color="auto" w:sz="4" w:space="0"/>
            </w:tcBorders>
            <w:noWrap w:val="0"/>
            <w:vAlign w:val="center"/>
          </w:tcPr>
          <w:p w14:paraId="7713B3AA">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lang w:val="en-US" w:eastAsia="zh-CN"/>
              </w:rPr>
              <w:t>原</w:t>
            </w:r>
            <w:r>
              <w:rPr>
                <w:rFonts w:hint="eastAsia" w:ascii="仿宋" w:hAnsi="仿宋" w:eastAsia="仿宋" w:cs="仿宋"/>
                <w:spacing w:val="7"/>
                <w:sz w:val="22"/>
                <w:szCs w:val="22"/>
              </w:rPr>
              <w:t>标段7</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30BD4BF6">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干调</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0A9EA96B">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35</w:t>
            </w:r>
          </w:p>
        </w:tc>
        <w:tc>
          <w:tcPr>
            <w:tcW w:w="3000" w:type="dxa"/>
            <w:tcBorders>
              <w:left w:val="single" w:color="auto" w:sz="4" w:space="0"/>
              <w:bottom w:val="single" w:color="auto" w:sz="4" w:space="0"/>
              <w:right w:val="single" w:color="auto" w:sz="4" w:space="0"/>
            </w:tcBorders>
            <w:noWrap w:val="0"/>
            <w:vAlign w:val="center"/>
          </w:tcPr>
          <w:p w14:paraId="337BB10B">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lang w:val="en-US" w:eastAsia="zh-CN"/>
              </w:rPr>
              <w:t>详细单价（控制价）见附件</w:t>
            </w:r>
          </w:p>
        </w:tc>
      </w:tr>
    </w:tbl>
    <w:p w14:paraId="51392DBC">
      <w:pPr>
        <w:spacing w:line="460" w:lineRule="exact"/>
        <w:ind w:firstLine="480" w:firstLineChars="200"/>
        <w:rPr>
          <w:rFonts w:hint="eastAsia" w:ascii="宋体" w:hAnsi="宋体"/>
          <w:sz w:val="24"/>
          <w:szCs w:val="24"/>
        </w:rPr>
      </w:pPr>
      <w:r>
        <w:rPr>
          <w:rFonts w:hint="eastAsia" w:ascii="宋体" w:hAnsi="宋体"/>
          <w:sz w:val="24"/>
          <w:szCs w:val="24"/>
        </w:rPr>
        <w:t>说明：本表仅为暂估量，实际使用量会因就餐人数、菜品种类、烹调工艺等有变化，结算以实际需求及验收数量为准。</w:t>
      </w:r>
    </w:p>
    <w:p w14:paraId="426EA910">
      <w:pPr>
        <w:spacing w:line="460" w:lineRule="exact"/>
        <w:ind w:firstLine="482" w:firstLineChars="200"/>
        <w:outlineLvl w:val="1"/>
        <w:rPr>
          <w:rFonts w:ascii="宋体" w:hAnsi="宋体"/>
          <w:b/>
          <w:sz w:val="24"/>
          <w:szCs w:val="24"/>
        </w:rPr>
      </w:pPr>
      <w:r>
        <w:rPr>
          <w:rFonts w:hint="eastAsia" w:ascii="宋体" w:hAnsi="宋体"/>
          <w:b/>
          <w:sz w:val="24"/>
          <w:szCs w:val="24"/>
        </w:rPr>
        <w:t>（二）送货地点</w:t>
      </w:r>
    </w:p>
    <w:p w14:paraId="7B92AF33">
      <w:pPr>
        <w:spacing w:line="460" w:lineRule="exact"/>
        <w:ind w:firstLine="480" w:firstLineChars="200"/>
        <w:rPr>
          <w:rFonts w:ascii="宋体" w:hAnsi="宋体"/>
          <w:sz w:val="24"/>
          <w:szCs w:val="24"/>
        </w:rPr>
      </w:pPr>
      <w:r>
        <w:rPr>
          <w:rFonts w:hint="eastAsia" w:ascii="宋体" w:hAnsi="宋体"/>
          <w:sz w:val="24"/>
          <w:szCs w:val="24"/>
          <w:lang w:eastAsia="zh-CN"/>
        </w:rPr>
        <w:t>南通师范高等专科学校</w:t>
      </w:r>
      <w:r>
        <w:rPr>
          <w:rFonts w:hint="eastAsia" w:ascii="宋体" w:hAnsi="宋体"/>
          <w:sz w:val="24"/>
          <w:szCs w:val="24"/>
        </w:rPr>
        <w:t>开发区校区食堂指定地点。</w:t>
      </w:r>
    </w:p>
    <w:p w14:paraId="4405AEDD">
      <w:pPr>
        <w:spacing w:line="460" w:lineRule="exact"/>
        <w:ind w:firstLine="482" w:firstLineChars="200"/>
        <w:outlineLvl w:val="1"/>
        <w:rPr>
          <w:rFonts w:ascii="宋体" w:hAnsi="宋体"/>
          <w:b/>
          <w:sz w:val="24"/>
          <w:szCs w:val="24"/>
        </w:rPr>
      </w:pPr>
      <w:r>
        <w:rPr>
          <w:rFonts w:hint="eastAsia" w:ascii="宋体" w:hAnsi="宋体"/>
          <w:b/>
          <w:sz w:val="24"/>
          <w:szCs w:val="24"/>
        </w:rPr>
        <w:t>（三）配送服务期限</w:t>
      </w:r>
    </w:p>
    <w:p w14:paraId="4CFBA58B">
      <w:pPr>
        <w:spacing w:line="460" w:lineRule="exact"/>
        <w:ind w:firstLine="480" w:firstLineChars="200"/>
        <w:rPr>
          <w:rFonts w:hint="eastAsia" w:ascii="宋体" w:hAnsi="宋体"/>
          <w:sz w:val="24"/>
          <w:szCs w:val="24"/>
        </w:rPr>
      </w:pPr>
      <w:r>
        <w:rPr>
          <w:rFonts w:hint="eastAsia" w:ascii="宋体" w:hAnsi="宋体"/>
          <w:sz w:val="24"/>
          <w:szCs w:val="24"/>
          <w:lang w:val="en-US" w:eastAsia="zh-CN"/>
        </w:rPr>
        <w:t>1年</w:t>
      </w:r>
      <w:r>
        <w:rPr>
          <w:rFonts w:hint="eastAsia" w:ascii="宋体" w:hAnsi="宋体"/>
          <w:sz w:val="24"/>
          <w:szCs w:val="24"/>
        </w:rPr>
        <w:t>，具体起止时间以合同签订为准。</w:t>
      </w:r>
    </w:p>
    <w:p w14:paraId="100C21DF">
      <w:pPr>
        <w:spacing w:line="460" w:lineRule="exact"/>
        <w:ind w:firstLine="482" w:firstLineChars="200"/>
        <w:rPr>
          <w:rFonts w:ascii="宋体" w:hAnsi="宋体"/>
          <w:b/>
          <w:sz w:val="24"/>
          <w:szCs w:val="24"/>
        </w:rPr>
      </w:pPr>
      <w:r>
        <w:rPr>
          <w:rFonts w:hint="eastAsia" w:ascii="宋体" w:hAnsi="宋体"/>
          <w:b/>
          <w:sz w:val="24"/>
          <w:szCs w:val="24"/>
        </w:rPr>
        <w:t>四、采购标的需满足的质量、安全、技术规格、物理特性等要求</w:t>
      </w:r>
    </w:p>
    <w:p w14:paraId="100C21E0">
      <w:pPr>
        <w:spacing w:line="460" w:lineRule="exact"/>
        <w:ind w:firstLine="480" w:firstLineChars="200"/>
        <w:rPr>
          <w:rFonts w:ascii="宋体" w:hAnsi="宋体"/>
          <w:sz w:val="24"/>
          <w:szCs w:val="24"/>
        </w:rPr>
      </w:pPr>
      <w:r>
        <w:rPr>
          <w:rFonts w:hint="eastAsia" w:ascii="宋体" w:hAnsi="宋体"/>
          <w:sz w:val="24"/>
          <w:szCs w:val="24"/>
        </w:rPr>
        <w:t>供货商提供的产品必须符合《国家标准》（</w:t>
      </w:r>
      <w:r>
        <w:rPr>
          <w:rFonts w:ascii="宋体" w:hAnsi="宋体"/>
          <w:sz w:val="24"/>
          <w:szCs w:val="24"/>
        </w:rPr>
        <w:t>GB），农产品符合《中华人民共和国农业行业标准》（NY），《中华人民共和国食品安全法实施条例》和其它相应的标准，同时，要满足学校对产品的其它质量要求并必须确保食品安全。</w:t>
      </w:r>
    </w:p>
    <w:p w14:paraId="66741139">
      <w:pPr>
        <w:spacing w:line="460" w:lineRule="exact"/>
        <w:ind w:firstLine="480" w:firstLineChars="20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相关要求</w:t>
      </w:r>
    </w:p>
    <w:p w14:paraId="56767248">
      <w:pPr>
        <w:spacing w:line="460" w:lineRule="exact"/>
        <w:ind w:firstLine="480" w:firstLineChars="200"/>
        <w:rPr>
          <w:rFonts w:hint="eastAsia" w:ascii="宋体" w:hAnsi="宋体"/>
          <w:sz w:val="24"/>
          <w:szCs w:val="24"/>
        </w:rPr>
      </w:pPr>
      <w:r>
        <w:rPr>
          <w:rFonts w:hint="eastAsia" w:ascii="宋体" w:hAnsi="宋体"/>
          <w:sz w:val="24"/>
          <w:szCs w:val="24"/>
        </w:rPr>
        <w:t>①食品必须符合国家的食品卫生标准、规格及包装要求；</w:t>
      </w:r>
    </w:p>
    <w:p w14:paraId="2AE00904">
      <w:pPr>
        <w:spacing w:line="460" w:lineRule="exact"/>
        <w:ind w:firstLine="480" w:firstLineChars="200"/>
        <w:rPr>
          <w:rFonts w:hint="eastAsia" w:ascii="宋体" w:hAnsi="宋体"/>
          <w:sz w:val="24"/>
          <w:szCs w:val="24"/>
        </w:rPr>
      </w:pPr>
      <w:r>
        <w:rPr>
          <w:rFonts w:hint="eastAsia" w:ascii="宋体" w:hAnsi="宋体"/>
          <w:sz w:val="24"/>
          <w:szCs w:val="24"/>
        </w:rPr>
        <w:t>②产品为供货当年近期生产的非转基因产品，中标后向采购人提供书面质量检测报告及标签；</w:t>
      </w:r>
    </w:p>
    <w:p w14:paraId="2F2C26D2">
      <w:pPr>
        <w:spacing w:line="460" w:lineRule="exact"/>
        <w:ind w:firstLine="480" w:firstLineChars="200"/>
        <w:rPr>
          <w:rFonts w:hint="eastAsia" w:ascii="宋体" w:hAnsi="宋体"/>
          <w:sz w:val="24"/>
          <w:szCs w:val="24"/>
        </w:rPr>
      </w:pPr>
      <w:r>
        <w:rPr>
          <w:rFonts w:hint="eastAsia" w:ascii="宋体" w:hAnsi="宋体"/>
          <w:sz w:val="24"/>
          <w:szCs w:val="24"/>
        </w:rPr>
        <w:t>③中标人需严格遵守《中华人民共和国食品安全法》》(2015年10 月1日实施)及其他相关法律法规有关规定，所提供物资应具有食品生产许可证编号或符合国家相关标准；必须符合《中华人民共和国国家标准》（GB/T 22502-2008）(2009年1月20日实施)，农产品符合《中华人民共和国农业行业标准》（NY/T1717-2009）（2009年5月1日实施），GB 31646-2018食品安全国家标准速冻食品生产和经营卫生规范和其它相应的标准，同时要满足学校食品安全与营养健康管理规定中的相关要求及学校对产品的其他质量和食品安全要求。不得有掺假、变质、变味、过期等现象出现，严禁伪劣、假冒无证不合格物品进入仓库。</w:t>
      </w:r>
    </w:p>
    <w:p w14:paraId="21369885">
      <w:pPr>
        <w:spacing w:line="460" w:lineRule="exact"/>
        <w:ind w:firstLine="480" w:firstLineChars="200"/>
        <w:rPr>
          <w:rFonts w:hint="eastAsia" w:ascii="宋体" w:hAnsi="宋体"/>
          <w:sz w:val="24"/>
          <w:szCs w:val="24"/>
        </w:rPr>
      </w:pPr>
      <w:r>
        <w:rPr>
          <w:rFonts w:hint="eastAsia" w:ascii="宋体" w:hAnsi="宋体"/>
          <w:sz w:val="24"/>
          <w:szCs w:val="24"/>
        </w:rPr>
        <w:t>④能自觉遵守学校相关规章制度，服从校方管理。</w:t>
      </w:r>
    </w:p>
    <w:p w14:paraId="1E45900B">
      <w:pPr>
        <w:spacing w:line="460" w:lineRule="exact"/>
        <w:ind w:firstLine="480" w:firstLineChars="200"/>
        <w:rPr>
          <w:rFonts w:hint="default" w:ascii="宋体" w:hAnsi="宋体"/>
          <w:sz w:val="24"/>
          <w:szCs w:val="24"/>
          <w:lang w:val="en-US" w:eastAsia="zh-CN"/>
        </w:rPr>
      </w:pPr>
      <w:r>
        <w:rPr>
          <w:rFonts w:hint="eastAsia" w:ascii="宋体" w:hAnsi="宋体"/>
          <w:sz w:val="24"/>
          <w:szCs w:val="24"/>
          <w:lang w:val="en-US" w:eastAsia="zh-CN"/>
        </w:rPr>
        <w:t>2.技术参数</w:t>
      </w:r>
    </w:p>
    <w:p w14:paraId="2564FD1E">
      <w:pPr>
        <w:pStyle w:val="56"/>
        <w:spacing w:after="0"/>
        <w:ind w:left="0" w:leftChars="0" w:firstLine="0" w:firstLineChars="0"/>
        <w:jc w:val="center"/>
        <w:rPr>
          <w:rFonts w:eastAsia="仿宋"/>
          <w:b/>
          <w:bCs/>
          <w:sz w:val="24"/>
          <w:szCs w:val="24"/>
        </w:rPr>
      </w:pPr>
      <w:r>
        <w:rPr>
          <w:rFonts w:hint="eastAsia" w:ascii="仿宋" w:hAnsi="仿宋" w:eastAsia="仿宋" w:cs="仿宋"/>
          <w:b/>
          <w:bCs/>
          <w:sz w:val="24"/>
          <w:szCs w:val="24"/>
        </w:rPr>
        <w:t>采购标的技术参数</w:t>
      </w:r>
    </w:p>
    <w:tbl>
      <w:tblPr>
        <w:tblStyle w:val="57"/>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78"/>
        <w:gridCol w:w="6599"/>
        <w:gridCol w:w="1132"/>
      </w:tblGrid>
      <w:tr w14:paraId="7F61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8" w:type="dxa"/>
            <w:noWrap w:val="0"/>
            <w:vAlign w:val="center"/>
          </w:tcPr>
          <w:p w14:paraId="019F03C3">
            <w:pPr>
              <w:spacing w:after="0"/>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标段序号</w:t>
            </w:r>
          </w:p>
        </w:tc>
        <w:tc>
          <w:tcPr>
            <w:tcW w:w="778" w:type="dxa"/>
            <w:noWrap w:val="0"/>
            <w:vAlign w:val="center"/>
          </w:tcPr>
          <w:p w14:paraId="25672D4D">
            <w:pPr>
              <w:spacing w:after="0"/>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标段名</w:t>
            </w:r>
          </w:p>
        </w:tc>
        <w:tc>
          <w:tcPr>
            <w:tcW w:w="6599" w:type="dxa"/>
            <w:noWrap w:val="0"/>
            <w:vAlign w:val="center"/>
          </w:tcPr>
          <w:p w14:paraId="1D6DCD8E">
            <w:pPr>
              <w:spacing w:after="0"/>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物品质量要求</w:t>
            </w:r>
          </w:p>
        </w:tc>
        <w:tc>
          <w:tcPr>
            <w:tcW w:w="1132" w:type="dxa"/>
            <w:tcBorders>
              <w:top w:val="single" w:color="auto" w:sz="4" w:space="0"/>
              <w:left w:val="nil"/>
              <w:right w:val="single" w:color="auto" w:sz="4" w:space="0"/>
            </w:tcBorders>
            <w:noWrap w:val="0"/>
            <w:vAlign w:val="center"/>
          </w:tcPr>
          <w:p w14:paraId="4DAA7D21">
            <w:pPr>
              <w:spacing w:after="0"/>
              <w:jc w:val="center"/>
              <w:rPr>
                <w:rFonts w:hint="eastAsia" w:ascii="仿宋" w:hAnsi="仿宋" w:eastAsia="仿宋"/>
                <w:b/>
                <w:bCs/>
                <w:sz w:val="24"/>
                <w:szCs w:val="24"/>
                <w:highlight w:val="none"/>
              </w:rPr>
            </w:pPr>
            <w:r>
              <w:rPr>
                <w:rFonts w:hint="eastAsia" w:ascii="仿宋" w:hAnsi="仿宋" w:eastAsia="仿宋"/>
                <w:b/>
                <w:bCs/>
                <w:sz w:val="24"/>
                <w:szCs w:val="24"/>
                <w:highlight w:val="none"/>
              </w:rPr>
              <w:t>参考品牌</w:t>
            </w:r>
          </w:p>
        </w:tc>
      </w:tr>
      <w:tr w14:paraId="4888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28" w:type="dxa"/>
            <w:noWrap w:val="0"/>
            <w:vAlign w:val="center"/>
          </w:tcPr>
          <w:p w14:paraId="30F5DEB0">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原</w:t>
            </w:r>
            <w:r>
              <w:rPr>
                <w:rFonts w:hint="eastAsia" w:ascii="仿宋" w:hAnsi="仿宋" w:eastAsia="仿宋" w:cs="仿宋"/>
                <w:sz w:val="24"/>
                <w:szCs w:val="24"/>
                <w:highlight w:val="none"/>
              </w:rPr>
              <w:t>标段2</w:t>
            </w:r>
          </w:p>
        </w:tc>
        <w:tc>
          <w:tcPr>
            <w:tcW w:w="778" w:type="dxa"/>
            <w:noWrap w:val="0"/>
            <w:vAlign w:val="center"/>
          </w:tcPr>
          <w:p w14:paraId="5D6C0109">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面粉</w:t>
            </w:r>
          </w:p>
        </w:tc>
        <w:tc>
          <w:tcPr>
            <w:tcW w:w="6599" w:type="dxa"/>
            <w:tcBorders>
              <w:right w:val="single" w:color="auto" w:sz="4" w:space="0"/>
            </w:tcBorders>
            <w:noWrap w:val="0"/>
            <w:vAlign w:val="top"/>
          </w:tcPr>
          <w:p w14:paraId="26C727B1">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小麦粉特制一等高筋粉、中筋粉、低筋粉，符合GB 14881《食品安全国家标准 食品生产通用卫生规范》现行有效版本标准。</w:t>
            </w:r>
          </w:p>
          <w:p w14:paraId="1DA38CDB">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主要品种包括杂粮类产品如糯米粉、水磨粉等；供货时剩余保质期不少于三分之二。</w:t>
            </w:r>
          </w:p>
          <w:p w14:paraId="0219E5A7">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1.质量等级为标准粉以上</w:t>
            </w:r>
            <w:r>
              <w:rPr>
                <w:rFonts w:hint="eastAsia" w:ascii="仿宋" w:hAnsi="仿宋" w:eastAsia="仿宋" w:cs="仿宋"/>
                <w:sz w:val="24"/>
                <w:szCs w:val="24"/>
                <w:highlight w:val="none"/>
              </w:rPr>
              <w:t>，规格为25KG/袋。包装袋上必须印有注册商标、等级、</w:t>
            </w:r>
            <w:r>
              <w:rPr>
                <w:rFonts w:hint="eastAsia" w:ascii="仿宋" w:hAnsi="仿宋" w:eastAsia="仿宋" w:cs="仿宋"/>
                <w:bCs/>
                <w:sz w:val="24"/>
                <w:szCs w:val="24"/>
                <w:highlight w:val="none"/>
              </w:rPr>
              <w:t>包装标明产品名称、净含量、生产者名称和地址、生产日期、保质期、产品标准号、质量等级、生产许可证号、产品批号等内容；新鲜、色泽呈现乳白或微黄色、手感细腻、均匀、有自然浓郁的麦香味、手抓后自然流出、松开手后不成团、制成的成品如馒头有麦香味、香甜入口不粘牙；所供每批次产品必须出具产品合格证。</w:t>
            </w:r>
          </w:p>
          <w:p w14:paraId="20688D20">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产品中镉（以Cd计）、苯并[a]芘、玉米赤霉烯酮、脱氧雪腐镰刀菌烯醇、赭曲霉毒素A、黄曲霉毒素B1、过氧化苯甲酰指标不得检出或超过国家规定的指标。</w:t>
            </w:r>
          </w:p>
          <w:p w14:paraId="3DBB389C">
            <w:pPr>
              <w:spacing w:after="0"/>
              <w:jc w:val="both"/>
              <w:rPr>
                <w:rFonts w:hint="eastAsia" w:ascii="仿宋" w:hAnsi="仿宋" w:eastAsia="仿宋" w:cs="仿宋"/>
                <w:sz w:val="24"/>
                <w:szCs w:val="24"/>
                <w:highlight w:val="none"/>
              </w:rPr>
            </w:pPr>
            <w:r>
              <w:rPr>
                <w:rFonts w:hint="eastAsia" w:ascii="仿宋" w:hAnsi="仿宋" w:eastAsia="仿宋" w:cs="仿宋"/>
                <w:bCs/>
                <w:sz w:val="24"/>
                <w:szCs w:val="24"/>
                <w:highlight w:val="none"/>
              </w:rPr>
              <w:t>2.有“SC”食品生产许可证编号，</w:t>
            </w:r>
            <w:r>
              <w:rPr>
                <w:rFonts w:hint="eastAsia" w:ascii="仿宋" w:hAnsi="仿宋" w:eastAsia="仿宋" w:cs="仿宋"/>
                <w:sz w:val="24"/>
                <w:szCs w:val="24"/>
                <w:highlight w:val="none"/>
              </w:rPr>
              <w:t>所供每批次产品必须出具产品合格证。</w:t>
            </w:r>
          </w:p>
        </w:tc>
        <w:tc>
          <w:tcPr>
            <w:tcW w:w="1132" w:type="dxa"/>
            <w:tcBorders>
              <w:left w:val="single" w:color="auto" w:sz="4" w:space="0"/>
              <w:bottom w:val="single" w:color="auto" w:sz="4" w:space="0"/>
              <w:right w:val="single" w:color="auto" w:sz="4" w:space="0"/>
            </w:tcBorders>
            <w:noWrap w:val="0"/>
            <w:vAlign w:val="center"/>
          </w:tcPr>
          <w:p w14:paraId="469880DA">
            <w:pPr>
              <w:jc w:val="center"/>
              <w:rPr>
                <w:rFonts w:hint="eastAsia" w:ascii="仿宋" w:hAnsi="仿宋" w:eastAsia="仿宋" w:cs="宋体"/>
                <w:sz w:val="24"/>
                <w:szCs w:val="24"/>
                <w:highlight w:val="none"/>
              </w:rPr>
            </w:pPr>
            <w:r>
              <w:rPr>
                <w:rFonts w:hint="eastAsia" w:ascii="仿宋" w:hAnsi="仿宋" w:eastAsia="仿宋" w:cs="宋体"/>
                <w:sz w:val="24"/>
                <w:szCs w:val="24"/>
                <w:highlight w:val="none"/>
              </w:rPr>
              <w:t>不限</w:t>
            </w:r>
          </w:p>
        </w:tc>
      </w:tr>
      <w:tr w14:paraId="0519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8" w:type="dxa"/>
            <w:noWrap w:val="0"/>
            <w:vAlign w:val="center"/>
          </w:tcPr>
          <w:p w14:paraId="160A6EF8">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原</w:t>
            </w:r>
            <w:r>
              <w:rPr>
                <w:rFonts w:hint="eastAsia" w:ascii="仿宋" w:hAnsi="仿宋" w:eastAsia="仿宋" w:cs="仿宋"/>
                <w:sz w:val="24"/>
                <w:szCs w:val="24"/>
                <w:highlight w:val="none"/>
              </w:rPr>
              <w:t>标段5</w:t>
            </w:r>
          </w:p>
        </w:tc>
        <w:tc>
          <w:tcPr>
            <w:tcW w:w="778" w:type="dxa"/>
            <w:noWrap w:val="0"/>
            <w:vAlign w:val="center"/>
          </w:tcPr>
          <w:p w14:paraId="22F12E7C">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鸡蛋</w:t>
            </w:r>
          </w:p>
        </w:tc>
        <w:tc>
          <w:tcPr>
            <w:tcW w:w="6599" w:type="dxa"/>
            <w:tcBorders>
              <w:right w:val="single" w:color="auto" w:sz="4" w:space="0"/>
            </w:tcBorders>
            <w:noWrap w:val="0"/>
            <w:vAlign w:val="center"/>
          </w:tcPr>
          <w:p w14:paraId="2609A62C">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总体要求：蛋应具有正常的外观、气味和滋味，无异味，无腐败变质。符合《GB2749-2015食品安全国家标准蛋与蛋制品》，污染物限量应符合GB 2762中相应食品类别的规定。真菌毒素限量符合 GB2761中相应食品类别的规定，微生物限量对沙门氏菌有限制要求，禽蛋中兽药残留量检测符合《GB/T39438-2020禽蛋中兽药残留量的测定液相色谱—串联质谱法》鲜鸡蛋要求按照《NY/T1758-2009鲜蛋等级规格》登记规格配送一级等级以上。</w:t>
            </w:r>
          </w:p>
          <w:p w14:paraId="2F983351">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鸡蛋配送要有蛋托与周转箱分装；主要品种包括鸡蛋、咸鸭蛋、皮蛋等；蛋壳清洁完整，色泽鲜明，大小均匀、无破损、裂纹，无霉斑，灯光透视时，整个蛋呈桔黄色至橙红色，蛋黄不见或略见阴影，没有霉味、酸味，臭味等不良气味，打开后蛋黄凸起、完整、有韧性，蛋白澄清、透明、稀稠分明，无异味；所供每批次禽蛋必须有《动物检疫合格证明》，供现场查验。产品中氯霉素、氟苯尼考、甲砜霉素、恩诺沙星、沙拉沙星、金刚烷胺、金刚乙胺、甲硝唑、地美硝唑、磺胺类（总量）、指呋喃唑酮代谢物、标氟虫腈指标不得检出或超过国家规定的指标。</w:t>
            </w:r>
          </w:p>
          <w:p w14:paraId="04B58BCC">
            <w:pPr>
              <w:spacing w:after="0"/>
              <w:jc w:val="both"/>
              <w:rPr>
                <w:rFonts w:hint="eastAsia" w:ascii="仿宋" w:hAnsi="仿宋" w:eastAsia="仿宋" w:cs="仿宋"/>
                <w:sz w:val="24"/>
                <w:szCs w:val="24"/>
                <w:highlight w:val="none"/>
              </w:rPr>
            </w:pPr>
            <w:r>
              <w:rPr>
                <w:rFonts w:hint="eastAsia" w:ascii="仿宋" w:hAnsi="仿宋" w:eastAsia="仿宋" w:cs="仿宋"/>
                <w:bCs/>
                <w:sz w:val="24"/>
                <w:szCs w:val="24"/>
                <w:highlight w:val="none"/>
              </w:rPr>
              <w:t>鲜鸡蛋品质新鲜，鸡蛋分拣包装日期至送货到校日期间隔不超过7天，外包装必须清晰标注分拣包装日期以供现场核验。</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4B728DE">
            <w:pPr>
              <w:jc w:val="center"/>
              <w:rPr>
                <w:rFonts w:ascii="仿宋" w:hAnsi="仿宋" w:eastAsia="仿宋"/>
                <w:sz w:val="24"/>
                <w:szCs w:val="24"/>
                <w:highlight w:val="none"/>
              </w:rPr>
            </w:pPr>
            <w:r>
              <w:rPr>
                <w:rFonts w:hint="eastAsia" w:ascii="仿宋" w:hAnsi="仿宋" w:eastAsia="仿宋" w:cs="宋体"/>
                <w:sz w:val="24"/>
                <w:szCs w:val="24"/>
                <w:highlight w:val="none"/>
              </w:rPr>
              <w:t>不限</w:t>
            </w:r>
          </w:p>
        </w:tc>
      </w:tr>
      <w:tr w14:paraId="1982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728" w:type="dxa"/>
            <w:noWrap w:val="0"/>
            <w:vAlign w:val="center"/>
          </w:tcPr>
          <w:p w14:paraId="3F9AA87C">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原</w:t>
            </w:r>
            <w:r>
              <w:rPr>
                <w:rFonts w:hint="eastAsia" w:ascii="仿宋" w:hAnsi="仿宋" w:eastAsia="仿宋" w:cs="仿宋"/>
                <w:sz w:val="24"/>
                <w:szCs w:val="24"/>
                <w:highlight w:val="none"/>
              </w:rPr>
              <w:t>标段7</w:t>
            </w:r>
          </w:p>
        </w:tc>
        <w:tc>
          <w:tcPr>
            <w:tcW w:w="778" w:type="dxa"/>
            <w:noWrap w:val="0"/>
            <w:vAlign w:val="center"/>
          </w:tcPr>
          <w:p w14:paraId="1C72941C">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干调</w:t>
            </w:r>
          </w:p>
        </w:tc>
        <w:tc>
          <w:tcPr>
            <w:tcW w:w="6599" w:type="dxa"/>
            <w:tcBorders>
              <w:right w:val="single" w:color="auto" w:sz="4" w:space="0"/>
            </w:tcBorders>
            <w:noWrap w:val="0"/>
            <w:vAlign w:val="center"/>
          </w:tcPr>
          <w:p w14:paraId="6F22D3D6">
            <w:pPr>
              <w:spacing w:after="0"/>
              <w:jc w:val="both"/>
              <w:rPr>
                <w:rFonts w:hint="eastAsia" w:ascii="仿宋" w:hAnsi="仿宋" w:eastAsia="仿宋" w:cs="仿宋"/>
                <w:bCs/>
                <w:sz w:val="24"/>
                <w:szCs w:val="24"/>
                <w:highlight w:val="none"/>
              </w:rPr>
            </w:pPr>
            <w:r>
              <w:rPr>
                <w:rFonts w:hint="eastAsia" w:ascii="仿宋" w:hAnsi="仿宋" w:eastAsia="仿宋" w:cs="仿宋"/>
                <w:b/>
                <w:sz w:val="24"/>
                <w:szCs w:val="24"/>
                <w:highlight w:val="none"/>
              </w:rPr>
              <w:t>调味品总体要求</w:t>
            </w:r>
            <w:r>
              <w:rPr>
                <w:rFonts w:hint="eastAsia" w:ascii="仿宋" w:hAnsi="仿宋" w:eastAsia="仿宋" w:cs="仿宋"/>
                <w:bCs/>
                <w:sz w:val="24"/>
                <w:szCs w:val="24"/>
                <w:highlight w:val="none"/>
              </w:rPr>
              <w:t xml:space="preserve">：调味品中食品添加剂品种、使用范围和使用量应符合《GB 2760-2014食品安全国家标准食品添加剂使用标准》，调味品中各类污染物（如铅、镉、汞、砷等）的限量要求符合《GB2762-2017食品安全国家标准食品中污染物限量》，调味品中致病菌的限量须符合《GB29921-2013食品安全国家标准食品中致病菌限量》。 </w:t>
            </w:r>
          </w:p>
          <w:p w14:paraId="3FA42A41">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产品质量标准：酱油需要符合《GB2717-2018食品安全国家标准酱油》，食醋需要符合《GB2719-2018食品安全国家标准食醋》，食用盐需要符合《GB2721-2015食品安全国家标准食用盐》，味精需要符合《GB2720-2015食品安全国家标准味精》。 </w:t>
            </w:r>
          </w:p>
          <w:p w14:paraId="5A350BB2">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标签标识标准：调味品的标签应符合《GB7718-2011食品安全国家标准预包装食品标签通则》和《GB 28050-2011食品安全国家标准预包装食品营养标签通则》的要求，标注产品名称、配料表、生产日期、保质期、储存条件、生产许可证编号、执行标准号、营养成分表等信息。 </w:t>
            </w:r>
          </w:p>
          <w:p w14:paraId="2868328A">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生产卫生规范：调味品生产企业应遵循《GB 14881-2013食品安全国家标准食品生产通用卫生规范》，确保生产环境、设备、人员等符合卫生要求，保障产品质量安全。 </w:t>
            </w:r>
          </w:p>
          <w:p w14:paraId="2A0506AD">
            <w:pPr>
              <w:spacing w:after="0"/>
              <w:jc w:val="both"/>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所配送的调味品、干货到达学校</w:t>
            </w:r>
            <w:r>
              <w:rPr>
                <w:rFonts w:hint="eastAsia" w:ascii="仿宋" w:hAnsi="仿宋" w:eastAsia="仿宋" w:cs="仿宋"/>
                <w:bCs/>
                <w:sz w:val="24"/>
                <w:szCs w:val="24"/>
                <w:highlight w:val="none"/>
                <w:lang w:val="en-US" w:eastAsia="zh-CN"/>
              </w:rPr>
              <w:t>时的</w:t>
            </w:r>
            <w:r>
              <w:rPr>
                <w:rFonts w:hint="eastAsia" w:ascii="仿宋" w:hAnsi="仿宋" w:eastAsia="仿宋" w:cs="仿宋"/>
                <w:bCs/>
                <w:sz w:val="24"/>
                <w:szCs w:val="24"/>
                <w:highlight w:val="none"/>
              </w:rPr>
              <w:t>剩余保质期不得少于总保质期的三分之二</w:t>
            </w:r>
            <w:r>
              <w:rPr>
                <w:rFonts w:hint="eastAsia" w:ascii="仿宋" w:hAnsi="仿宋" w:eastAsia="仿宋" w:cs="仿宋"/>
                <w:bCs/>
                <w:sz w:val="24"/>
                <w:szCs w:val="24"/>
                <w:highlight w:val="none"/>
                <w:lang w:eastAsia="zh-CN"/>
              </w:rPr>
              <w:t>。</w:t>
            </w:r>
          </w:p>
          <w:p w14:paraId="2DA033FE">
            <w:pPr>
              <w:spacing w:after="0"/>
              <w:jc w:val="left"/>
              <w:rPr>
                <w:rFonts w:hint="eastAsia" w:ascii="仿宋" w:hAnsi="仿宋" w:eastAsia="仿宋" w:cs="仿宋"/>
                <w:bCs/>
                <w:sz w:val="24"/>
                <w:szCs w:val="24"/>
                <w:highlight w:val="none"/>
              </w:rPr>
            </w:pPr>
            <w:r>
              <w:rPr>
                <w:rFonts w:hint="eastAsia" w:ascii="仿宋" w:hAnsi="仿宋" w:eastAsia="仿宋" w:cs="仿宋"/>
                <w:b/>
                <w:sz w:val="24"/>
                <w:szCs w:val="24"/>
                <w:highlight w:val="none"/>
              </w:rPr>
              <w:t>干货类总体要求</w:t>
            </w:r>
            <w:r>
              <w:rPr>
                <w:rFonts w:hint="eastAsia" w:ascii="仿宋" w:hAnsi="仿宋" w:eastAsia="仿宋" w:cs="仿宋"/>
                <w:bCs/>
                <w:sz w:val="24"/>
                <w:szCs w:val="24"/>
                <w:highlight w:val="none"/>
              </w:rPr>
              <w:t>：外观正常，颜色、质地和气味与正常情况相符，标签清晰、完整，包含了准确的产品信息，包装完好无损，无漏气、漏液或其他损坏，包装密封良好，无破损或密封 不 严 的 情 况。不 含 有 害 物 质 ， 符 合GB/9170-2003 、GB/T7652-2006、GB/T23587-2009等相关产品食品安全国家标准，预包装食品须有食品生产许可证编号（SC）。</w:t>
            </w:r>
          </w:p>
          <w:p w14:paraId="46FA0691">
            <w:pPr>
              <w:spacing w:after="0"/>
              <w:jc w:val="both"/>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所配送的干货到达学校</w:t>
            </w:r>
            <w:r>
              <w:rPr>
                <w:rFonts w:hint="eastAsia" w:ascii="仿宋" w:hAnsi="仿宋" w:eastAsia="仿宋" w:cs="仿宋"/>
                <w:bCs/>
                <w:sz w:val="24"/>
                <w:szCs w:val="24"/>
                <w:highlight w:val="none"/>
                <w:lang w:val="en-US" w:eastAsia="zh-CN"/>
              </w:rPr>
              <w:t>时的</w:t>
            </w:r>
            <w:r>
              <w:rPr>
                <w:rFonts w:hint="eastAsia" w:ascii="仿宋" w:hAnsi="仿宋" w:eastAsia="仿宋" w:cs="仿宋"/>
                <w:bCs/>
                <w:sz w:val="24"/>
                <w:szCs w:val="24"/>
                <w:highlight w:val="none"/>
              </w:rPr>
              <w:t>剩余保质期不得少于总保质期的三分之二</w:t>
            </w:r>
            <w:r>
              <w:rPr>
                <w:rFonts w:hint="eastAsia" w:ascii="仿宋" w:hAnsi="仿宋" w:eastAsia="仿宋" w:cs="仿宋"/>
                <w:bCs/>
                <w:sz w:val="24"/>
                <w:szCs w:val="24"/>
                <w:highlight w:val="none"/>
                <w:lang w:eastAsia="zh-CN"/>
              </w:rPr>
              <w:t>。</w:t>
            </w:r>
          </w:p>
          <w:p w14:paraId="2DB704EB">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分装时需提供合格证明。</w:t>
            </w:r>
          </w:p>
          <w:p w14:paraId="6DEA55D3">
            <w:pPr>
              <w:spacing w:after="0"/>
              <w:jc w:val="both"/>
              <w:rPr>
                <w:rFonts w:hint="eastAsia" w:ascii="仿宋" w:hAnsi="仿宋" w:eastAsia="仿宋" w:cs="仿宋"/>
                <w:bCs/>
                <w:sz w:val="24"/>
                <w:szCs w:val="24"/>
                <w:highlight w:val="none"/>
              </w:rPr>
            </w:pPr>
            <w:r>
              <w:rPr>
                <w:rFonts w:hint="eastAsia" w:ascii="仿宋" w:hAnsi="仿宋" w:eastAsia="仿宋" w:cs="仿宋"/>
                <w:b/>
                <w:sz w:val="24"/>
                <w:szCs w:val="24"/>
                <w:highlight w:val="none"/>
              </w:rPr>
              <w:t>食用盐</w:t>
            </w:r>
            <w:r>
              <w:rPr>
                <w:rFonts w:hint="eastAsia" w:ascii="仿宋" w:hAnsi="仿宋" w:eastAsia="仿宋" w:cs="仿宋"/>
                <w:bCs/>
                <w:sz w:val="24"/>
                <w:szCs w:val="24"/>
                <w:highlight w:val="none"/>
              </w:rPr>
              <w:t>符合GB2721-2015标准，碘盐需满足GB 26878-2011要求，不含亚铁氰化钾，并提供近半年内省级以上检测机构出具的合格报告。包装须密封防潮，每批次随货附出厂检验单。</w:t>
            </w:r>
          </w:p>
          <w:p w14:paraId="6518EE42">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结晶整齐一致，坚硬光滑，呈透明或半透明，不结块，无反卤吸潮现象，无杂质，沾取少许尝试具有纯正的咸味。普通食用盐产品中氯化钠、钡（以Ba 计）、碘（以I计）、铅（以Pb计）、总砷（以 As计）、镉（以Cd计）、总汞（以Hg计）、亚铁氰化钾/亚铁氰化钠（以亚铁氰根计）指标不得检出或超过国家规定的指标。低钠食用盐产品中氯化钾、钡（以Ba计）、碘（以I计）、铅（以Pb计）、总砷（以As计）、镉（以Cd计）、总汞（以Hg计）、亚铁氰化钾/亚铁氰化钠（以亚铁氰根计）指标不得检出或超过国家规定的指标。风味食用盐产品中钡（以Ba计）、铅（以Pb计）、总砷（以As计）、镉（以Cd计）、总汞（以Hg计）、亚铁氰化钾/亚铁氰化钠（以亚铁氰根计）指标不得检出或超过国家规定的指标。特殊工艺食用盐产品中氯化钠、钡（以Ba计）、碘（以I计）、铅（以Pb计）、总砷（以 As计）、镉（以Cd计）、总汞（以Hg计）、亚铁氰化钾/亚铁氰化钠（以亚铁氰根计）指标不得检出或超过国家规定的指标。食品生产加工用盐产品中铅（以Pb计）总砷（以As计）镉（以Cd计）总汞（以Hg计）亚铁氰化钾/亚铁氰化钠（以亚铁氰根计）亚硝酸盐（以NaNO2计）指标不得检出或超过国家规定的指标。</w:t>
            </w:r>
          </w:p>
          <w:p w14:paraId="5361499D">
            <w:pPr>
              <w:spacing w:after="0"/>
              <w:jc w:val="both"/>
              <w:rPr>
                <w:rFonts w:hint="eastAsia" w:ascii="仿宋" w:hAnsi="仿宋" w:eastAsia="仿宋" w:cs="仿宋"/>
                <w:bCs/>
                <w:sz w:val="24"/>
                <w:szCs w:val="24"/>
                <w:highlight w:val="none"/>
              </w:rPr>
            </w:pPr>
            <w:r>
              <w:rPr>
                <w:rFonts w:hint="eastAsia" w:ascii="仿宋" w:hAnsi="仿宋" w:eastAsia="仿宋" w:cs="仿宋"/>
                <w:b/>
                <w:sz w:val="24"/>
                <w:szCs w:val="24"/>
                <w:highlight w:val="none"/>
              </w:rPr>
              <w:t>香醋</w:t>
            </w:r>
            <w:r>
              <w:rPr>
                <w:rFonts w:hint="eastAsia" w:ascii="仿宋" w:hAnsi="仿宋" w:eastAsia="仿宋" w:cs="仿宋"/>
                <w:bCs/>
                <w:sz w:val="24"/>
                <w:szCs w:val="24"/>
                <w:highlight w:val="none"/>
              </w:rPr>
              <w:t>符合GB/T 18623 现行有效国家标准；具有正常食醋的色泽、气味和滋味，不涩，无其他不良气味与异味，无浮物，不浑浊，无沉淀，无异物，无醋鳗、醋虱；食醋产品中总酸（以乙酸计）、不挥发酸（以乳酸计）、苯甲酸及其钠盐（以苯甲酸计）、山梨酸及其钾盐（以山梨酸计）、脱氢乙酸及其钠盐（以脱氢乙酸计）、对羟基苯甲酸酯类及其钠盐（以对羟基苯甲酸计）、防腐剂混合使用时各自用量占其最大使用量的比例之和、糖精钠（以糖精计）、菌落总数指标不得检出或超过国家规定的指标。</w:t>
            </w:r>
          </w:p>
          <w:p w14:paraId="588B8F29">
            <w:pPr>
              <w:widowControl w:val="0"/>
              <w:spacing w:after="0"/>
              <w:jc w:val="both"/>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酿造酱油</w:t>
            </w:r>
            <w:r>
              <w:rPr>
                <w:rStyle w:val="217"/>
                <w:rFonts w:hint="eastAsia" w:ascii="仿宋" w:hAnsi="仿宋" w:eastAsia="仿宋" w:cs="仿宋"/>
                <w:b w:val="0"/>
                <w:bCs w:val="0"/>
                <w:sz w:val="24"/>
                <w:szCs w:val="24"/>
                <w:highlight w:val="none"/>
              </w:rPr>
              <w:t>符合国家标</w:t>
            </w:r>
            <w:r>
              <w:rPr>
                <w:rFonts w:hint="eastAsia" w:ascii="仿宋" w:hAnsi="仿宋" w:eastAsia="仿宋" w:cs="仿宋"/>
                <w:bCs/>
                <w:sz w:val="24"/>
                <w:szCs w:val="24"/>
                <w:highlight w:val="none"/>
              </w:rPr>
              <w:t>准GB18168-2000；</w:t>
            </w:r>
            <w:r>
              <w:rPr>
                <w:rStyle w:val="217"/>
                <w:rFonts w:hint="eastAsia" w:ascii="仿宋" w:hAnsi="仿宋" w:eastAsia="仿宋" w:cs="仿宋"/>
                <w:b w:val="0"/>
                <w:bCs w:val="0"/>
                <w:sz w:val="24"/>
                <w:szCs w:val="24"/>
                <w:highlight w:val="none"/>
              </w:rPr>
              <w:t>颜色比较红、亮，有光泽、透明，把这酱油倒在瓶子里后，摇一下，产生的泡沫非常细腻，保持持久，挂碗现象非常好，有一种发黏的感觉。</w:t>
            </w:r>
            <w:r>
              <w:rPr>
                <w:rFonts w:hint="eastAsia" w:ascii="仿宋" w:hAnsi="仿宋" w:eastAsia="仿宋" w:cs="仿宋"/>
                <w:bCs/>
                <w:color w:val="000000"/>
                <w:sz w:val="24"/>
                <w:szCs w:val="24"/>
                <w:highlight w:val="none"/>
                <w:lang w:bidi="ar"/>
              </w:rPr>
              <w:t>酱油</w:t>
            </w:r>
            <w:r>
              <w:rPr>
                <w:rFonts w:hint="eastAsia" w:ascii="仿宋" w:hAnsi="仿宋" w:eastAsia="仿宋" w:cs="仿宋"/>
                <w:bCs/>
                <w:sz w:val="24"/>
                <w:szCs w:val="24"/>
                <w:highlight w:val="none"/>
              </w:rPr>
              <w:t>产品中</w:t>
            </w:r>
            <w:r>
              <w:rPr>
                <w:rFonts w:hint="eastAsia" w:ascii="仿宋" w:hAnsi="仿宋" w:eastAsia="仿宋" w:cs="仿宋"/>
                <w:bCs/>
                <w:color w:val="000000"/>
                <w:sz w:val="24"/>
                <w:szCs w:val="24"/>
                <w:highlight w:val="none"/>
                <w:lang w:bidi="ar"/>
              </w:rPr>
              <w:t>氨基酸态氮、全氮（以氮计）、铵盐（以占氨基酸态氮的百分比计）、苯甲酸及其钠盐（以苯甲酸计）、山梨酸及其钾盐（以山梨酸计）、脱氢乙酸及其钠盐（以脱氢乙酸计）、对羟基苯甲酸酯类及其钠盐（以对羟基苯甲酸计）、防腐剂混合使用时各自用量占其最大使用量的比例之和、糖精钠（以糖精计）、菌落总数、大肠菌群</w:t>
            </w:r>
            <w:r>
              <w:rPr>
                <w:rFonts w:hint="eastAsia" w:ascii="仿宋" w:hAnsi="仿宋" w:eastAsia="仿宋" w:cs="仿宋"/>
                <w:bCs/>
                <w:sz w:val="24"/>
                <w:szCs w:val="24"/>
                <w:highlight w:val="none"/>
              </w:rPr>
              <w:t>指标不得检出或超过国家规定的指标。</w:t>
            </w:r>
          </w:p>
          <w:p w14:paraId="0AC1A7C3">
            <w:pPr>
              <w:spacing w:after="0"/>
              <w:jc w:val="both"/>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味精</w:t>
            </w:r>
            <w:r>
              <w:rPr>
                <w:rStyle w:val="217"/>
                <w:rFonts w:hint="eastAsia" w:ascii="仿宋" w:hAnsi="仿宋" w:eastAsia="仿宋" w:cs="仿宋"/>
                <w:b w:val="0"/>
                <w:bCs w:val="0"/>
                <w:sz w:val="24"/>
                <w:szCs w:val="24"/>
                <w:highlight w:val="none"/>
              </w:rPr>
              <w:t>符合GB 2717 现行有效食品安全国家标准；鸡精等：结晶或粉末，具有特殊的鲜味，无异味，无</w:t>
            </w:r>
            <w:bookmarkStart w:id="6" w:name="_GoBack"/>
            <w:bookmarkEnd w:id="6"/>
            <w:r>
              <w:rPr>
                <w:rStyle w:val="217"/>
                <w:rFonts w:hint="eastAsia" w:ascii="仿宋" w:hAnsi="仿宋" w:eastAsia="仿宋" w:cs="仿宋"/>
                <w:b w:val="0"/>
                <w:bCs w:val="0"/>
                <w:sz w:val="24"/>
                <w:szCs w:val="24"/>
                <w:highlight w:val="none"/>
              </w:rPr>
              <w:t>肉眼可见杂质，无返卤吸潮现象。味精产品中谷氨酸钠、铅（以 Pb 计）指标不得检出或超过国家规定的指标。鸡粉、鸡精调味料产品中谷氨酸钠、呈味核苷酸二钠、糖精钠（以糖精计）、甜蜜素（以环己基氨基磺酸计）、菌落总数、大肠菌群、指标不得检出或超过国家规定的指标。其他固体调味料产品中铅（以Pb计）、总砷（以As 计）、苏丹红I、苏丹红II、苏丹红III、苏丹红 IV、苯甲酸及其钠盐（以苯甲酸计）、山梨酸及其钾盐（以山梨酸计）、脱氢乙酸及其钠盐（以脱氢乙酸计）、防腐剂混合使用时各自用量占其最大使用量的比例之和、糖精钠（以糖精计）、甜蜜素（以环己基氨基磺酸计）指标不得检出或超过国家规定的指标。蛋黄酱、沙拉酱产品中金黄色葡萄球菌、沙门氏菌指标不得检出或超过国家规定的指标。</w:t>
            </w:r>
          </w:p>
          <w:p w14:paraId="70CB88A1">
            <w:pPr>
              <w:pStyle w:val="165"/>
              <w:adjustRightInd w:val="0"/>
              <w:snapToGrid w:val="0"/>
              <w:ind w:firstLine="0" w:firstLineChars="0"/>
              <w:rPr>
                <w:rFonts w:hint="eastAsia" w:ascii="仿宋" w:hAnsi="仿宋" w:eastAsia="仿宋" w:cs="仿宋"/>
                <w:sz w:val="24"/>
                <w:szCs w:val="24"/>
                <w:highlight w:val="none"/>
              </w:rPr>
            </w:pPr>
            <w:r>
              <w:rPr>
                <w:rFonts w:hint="eastAsia" w:ascii="仿宋" w:hAnsi="仿宋" w:eastAsia="仿宋" w:cs="仿宋"/>
                <w:b/>
                <w:bCs/>
                <w:sz w:val="24"/>
                <w:szCs w:val="24"/>
                <w:highlight w:val="none"/>
              </w:rPr>
              <w:t>白砂糖</w:t>
            </w:r>
            <w:r>
              <w:rPr>
                <w:rFonts w:hint="eastAsia" w:ascii="仿宋" w:hAnsi="仿宋" w:eastAsia="仿宋" w:cs="仿宋"/>
                <w:sz w:val="24"/>
                <w:szCs w:val="24"/>
                <w:highlight w:val="none"/>
              </w:rPr>
              <w:t>符合国家标准GB317-2006；色泽洁白明亮，有光泽，具有白糖的正常气味，无酸味、酒味或其他外来气味（绵白糖：颗粒细小而均匀，质地绵软、潮润。色泽洁白明亮，有光泽，具有白糖的正常气味，无酸味、酒味或其他外来气味（绵白糖：颗粒细小而均匀，质地绵软、潮润。</w:t>
            </w:r>
          </w:p>
          <w:p w14:paraId="0B75D204">
            <w:pPr>
              <w:spacing w:after="0"/>
              <w:jc w:val="both"/>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芝麻油</w:t>
            </w:r>
            <w:r>
              <w:rPr>
                <w:rStyle w:val="217"/>
                <w:rFonts w:hint="eastAsia" w:ascii="仿宋" w:hAnsi="仿宋" w:eastAsia="仿宋" w:cs="仿宋"/>
                <w:b w:val="0"/>
                <w:bCs w:val="0"/>
                <w:sz w:val="24"/>
                <w:szCs w:val="24"/>
                <w:highlight w:val="none"/>
              </w:rPr>
              <w:t>符合国家标准GB8233-2008；具有正常麻油的色泽、气味和滋味，无其他不良气味与异味，无浮物，不浑浊，无沉淀，无异物。具有正常麻油的色泽、气味和滋味，无其他不良气味与异味，无浮物，不浑浊，无沉淀，无异物。</w:t>
            </w:r>
          </w:p>
          <w:p w14:paraId="76ADEAD5">
            <w:pPr>
              <w:pStyle w:val="165"/>
              <w:adjustRightInd w:val="0"/>
              <w:snapToGrid w:val="0"/>
              <w:ind w:firstLine="0" w:firstLineChars="0"/>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淀粉</w:t>
            </w:r>
            <w:r>
              <w:rPr>
                <w:rStyle w:val="217"/>
                <w:rFonts w:hint="eastAsia" w:ascii="仿宋" w:hAnsi="仿宋" w:eastAsia="仿宋" w:cs="仿宋"/>
                <w:b w:val="0"/>
                <w:bCs w:val="0"/>
                <w:sz w:val="24"/>
                <w:szCs w:val="24"/>
                <w:highlight w:val="none"/>
              </w:rPr>
              <w:t>符合国家标准GB2713-2003；色泽洁白明亮，有光泽，具有淀粉的正常气味，无酸味、粉细小而均匀无吸潮现象。</w:t>
            </w:r>
          </w:p>
          <w:p w14:paraId="3F95EBDC">
            <w:pPr>
              <w:spacing w:after="0"/>
              <w:jc w:val="both"/>
              <w:rPr>
                <w:highlight w:val="none"/>
              </w:rPr>
            </w:pPr>
            <w:r>
              <w:rPr>
                <w:rFonts w:hint="eastAsia" w:ascii="仿宋" w:hAnsi="仿宋" w:eastAsia="仿宋" w:cs="仿宋"/>
                <w:sz w:val="24"/>
                <w:szCs w:val="24"/>
                <w:highlight w:val="none"/>
              </w:rPr>
              <w:t>外包装完好，标明品名、厂名、重量、生产日期、保质期或保存期、执行标准，供货时剩余保质期不少于三分二；所供每批次产品必须出具产品合格证</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FA43504">
            <w:pPr>
              <w:jc w:val="center"/>
              <w:rPr>
                <w:rFonts w:hint="eastAsia" w:ascii="仿宋" w:hAnsi="仿宋" w:eastAsia="仿宋" w:cs="宋体"/>
                <w:sz w:val="24"/>
                <w:szCs w:val="24"/>
                <w:highlight w:val="none"/>
              </w:rPr>
            </w:pPr>
            <w:r>
              <w:rPr>
                <w:rFonts w:hint="eastAsia" w:ascii="仿宋" w:hAnsi="仿宋" w:eastAsia="仿宋" w:cs="宋体"/>
                <w:sz w:val="24"/>
                <w:szCs w:val="24"/>
                <w:highlight w:val="none"/>
              </w:rPr>
              <w:t>不限</w:t>
            </w:r>
          </w:p>
        </w:tc>
      </w:tr>
    </w:tbl>
    <w:p w14:paraId="2503A328">
      <w:pPr>
        <w:spacing w:after="0"/>
        <w:rPr>
          <w:vanish/>
        </w:rPr>
      </w:pPr>
    </w:p>
    <w:tbl>
      <w:tblPr>
        <w:tblStyle w:val="57"/>
        <w:tblpPr w:leftFromText="180" w:rightFromText="180" w:vertAnchor="text" w:tblpX="10653" w:tblpY="-151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028B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val="0"/>
            <w:vAlign w:val="top"/>
          </w:tcPr>
          <w:p w14:paraId="4BAAAAA4">
            <w:pPr>
              <w:spacing w:after="0" w:line="460" w:lineRule="exact"/>
              <w:jc w:val="both"/>
              <w:rPr>
                <w:rFonts w:hint="eastAsia" w:ascii="仿宋" w:hAnsi="仿宋" w:eastAsia="仿宋" w:cs="仿宋"/>
                <w:kern w:val="2"/>
                <w:sz w:val="28"/>
                <w:szCs w:val="28"/>
              </w:rPr>
            </w:pPr>
          </w:p>
        </w:tc>
      </w:tr>
    </w:tbl>
    <w:p w14:paraId="16CD3B76">
      <w:pPr>
        <w:spacing w:after="0"/>
        <w:rPr>
          <w:vanish/>
        </w:rPr>
      </w:pPr>
    </w:p>
    <w:tbl>
      <w:tblPr>
        <w:tblStyle w:val="57"/>
        <w:tblpPr w:leftFromText="180" w:rightFromText="180" w:vertAnchor="text" w:tblpX="10653" w:tblpY="-1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1"/>
      </w:tblGrid>
      <w:tr w14:paraId="18DC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191" w:type="dxa"/>
            <w:noWrap w:val="0"/>
            <w:vAlign w:val="top"/>
          </w:tcPr>
          <w:p w14:paraId="26B9DFD6">
            <w:pPr>
              <w:spacing w:after="0" w:line="460" w:lineRule="exact"/>
              <w:jc w:val="both"/>
              <w:rPr>
                <w:rFonts w:hint="eastAsia" w:ascii="仿宋" w:hAnsi="仿宋" w:eastAsia="仿宋" w:cs="仿宋"/>
                <w:kern w:val="2"/>
                <w:sz w:val="28"/>
                <w:szCs w:val="28"/>
              </w:rPr>
            </w:pPr>
          </w:p>
        </w:tc>
      </w:tr>
    </w:tbl>
    <w:p w14:paraId="59F086F5">
      <w:pPr>
        <w:spacing w:line="460" w:lineRule="exact"/>
        <w:ind w:firstLine="480" w:firstLineChars="200"/>
        <w:rPr>
          <w:rFonts w:hint="eastAsia" w:ascii="宋体" w:hAnsi="宋体"/>
          <w:color w:val="0000FF"/>
          <w:sz w:val="24"/>
          <w:szCs w:val="24"/>
          <w:lang w:val="en-US" w:eastAsia="zh-CN"/>
        </w:rPr>
      </w:pPr>
      <w:r>
        <w:rPr>
          <w:rFonts w:hint="eastAsia" w:ascii="宋体" w:hAnsi="宋体"/>
          <w:sz w:val="24"/>
          <w:szCs w:val="24"/>
          <w:lang w:val="en-US" w:eastAsia="zh-CN"/>
        </w:rPr>
        <w:t>注</w:t>
      </w:r>
      <w:r>
        <w:rPr>
          <w:rFonts w:hint="eastAsia" w:ascii="宋体" w:hAnsi="宋体"/>
          <w:color w:val="auto"/>
          <w:sz w:val="24"/>
          <w:szCs w:val="24"/>
          <w:lang w:val="en-US" w:eastAsia="zh-CN"/>
        </w:rPr>
        <w:t>：</w:t>
      </w:r>
      <w:r>
        <w:rPr>
          <w:rFonts w:hint="eastAsia" w:ascii="宋体" w:hAnsi="宋体" w:eastAsia="宋体" w:cs="宋体"/>
          <w:color w:val="auto"/>
          <w:sz w:val="24"/>
          <w:szCs w:val="24"/>
        </w:rPr>
        <w:t>本项目</w:t>
      </w:r>
      <w:r>
        <w:rPr>
          <w:rFonts w:hint="eastAsia" w:ascii="宋体" w:hAnsi="宋体" w:cs="宋体"/>
          <w:color w:val="auto"/>
          <w:sz w:val="24"/>
          <w:szCs w:val="24"/>
          <w:lang w:val="en-US" w:eastAsia="zh-CN"/>
        </w:rPr>
        <w:t>原</w:t>
      </w:r>
      <w:r>
        <w:rPr>
          <w:rFonts w:hint="eastAsia" w:ascii="宋体" w:hAnsi="宋体" w:eastAsia="宋体" w:cs="宋体"/>
          <w:color w:val="auto"/>
          <w:sz w:val="24"/>
          <w:szCs w:val="24"/>
        </w:rPr>
        <w:t>标段</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设置本地大型超市上架常见品牌为参考品牌（或相当于），仅作为产品质量档次参照示例，不限制投标人投标品牌。投标人投标时可选用前述参考品牌，亦可选用其他品牌产品，但所投非参考品牌产品整体质量、品质档次不得低于招标文件列明参考品牌标准档次；投标人若选用非参考品牌，须同步提供加盖生产厂家公章的全套档次佐证材料，包含同档次产品第三方检测报告、厂家产品档次定位说明、大型商超上架销售证明，佐证材料缺失或经全体评标委员会评审一致认定产品质量档次未达参考品牌水准的，该标段投标报价按无效响应处理。其余未设置参考品牌，投标人可自主选用符合本招标文件全部国家食品安全标准、质量参数要求的合规产品。</w:t>
      </w:r>
    </w:p>
    <w:p w14:paraId="1062DA29">
      <w:pPr>
        <w:spacing w:line="460" w:lineRule="exact"/>
        <w:ind w:firstLine="480" w:firstLineChars="200"/>
        <w:rPr>
          <w:rFonts w:hint="default" w:ascii="宋体" w:hAnsi="宋体"/>
          <w:sz w:val="24"/>
          <w:szCs w:val="24"/>
          <w:lang w:val="en-US" w:eastAsia="zh-CN"/>
        </w:rPr>
      </w:pPr>
      <w:r>
        <w:rPr>
          <w:rFonts w:hint="eastAsia" w:ascii="宋体" w:hAnsi="宋体"/>
          <w:sz w:val="24"/>
          <w:szCs w:val="24"/>
          <w:lang w:val="en-US" w:eastAsia="zh-CN"/>
        </w:rPr>
        <w:t>3.供货履约</w:t>
      </w:r>
    </w:p>
    <w:p w14:paraId="12358C20">
      <w:pPr>
        <w:spacing w:line="460" w:lineRule="exact"/>
        <w:ind w:firstLine="480" w:firstLineChars="200"/>
        <w:rPr>
          <w:rFonts w:hint="eastAsia" w:ascii="宋体" w:hAnsi="宋体"/>
          <w:sz w:val="24"/>
          <w:szCs w:val="24"/>
        </w:rPr>
      </w:pPr>
      <w:r>
        <w:rPr>
          <w:rFonts w:hint="eastAsia" w:ascii="宋体" w:hAnsi="宋体"/>
          <w:sz w:val="24"/>
          <w:szCs w:val="24"/>
        </w:rPr>
        <w:t>供应商应严格遵守《中华人民共和国食品安全法》《中华人民共和国动物防疫法》等相关规定，若因供应的产品质量等问题造成相关食品责任事故，采购人除没收全部货物外，立即取消其供货资格并没收全部履约保证金，并由供应商承担由此造成的全部经济责任和法律责任。</w:t>
      </w:r>
    </w:p>
    <w:p w14:paraId="15766B86">
      <w:pPr>
        <w:spacing w:line="460" w:lineRule="exact"/>
        <w:ind w:firstLine="482" w:firstLineChars="200"/>
        <w:outlineLvl w:val="0"/>
        <w:rPr>
          <w:rFonts w:hint="default" w:ascii="宋体" w:hAnsi="宋体"/>
          <w:b/>
          <w:sz w:val="24"/>
          <w:szCs w:val="24"/>
          <w:lang w:val="en-US" w:eastAsia="zh-CN"/>
        </w:rPr>
      </w:pPr>
      <w:r>
        <w:rPr>
          <w:rFonts w:hint="eastAsia" w:ascii="宋体" w:hAnsi="宋体"/>
          <w:b/>
          <w:sz w:val="24"/>
          <w:szCs w:val="24"/>
          <w:lang w:val="en-US" w:eastAsia="zh-CN"/>
        </w:rPr>
        <w:t>五、投标报价</w:t>
      </w:r>
    </w:p>
    <w:p w14:paraId="4FFD66E7">
      <w:pPr>
        <w:spacing w:line="460" w:lineRule="exact"/>
        <w:ind w:firstLine="480" w:firstLineChars="20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本项目</w:t>
      </w:r>
      <w:r>
        <w:rPr>
          <w:rFonts w:hint="eastAsia" w:ascii="宋体" w:hAnsi="宋体"/>
          <w:sz w:val="24"/>
          <w:szCs w:val="24"/>
          <w:lang w:val="en-US" w:eastAsia="zh-CN"/>
        </w:rPr>
        <w:t>原标段2、原标段5</w:t>
      </w:r>
      <w:r>
        <w:rPr>
          <w:rFonts w:hint="eastAsia" w:ascii="宋体" w:hAnsi="宋体"/>
          <w:sz w:val="24"/>
          <w:szCs w:val="24"/>
        </w:rPr>
        <w:t>以南通市发展改革委员会网站公布的相关食材的平均市场价为</w:t>
      </w:r>
      <w:r>
        <w:rPr>
          <w:rFonts w:hint="eastAsia" w:ascii="宋体" w:hAnsi="宋体"/>
          <w:b/>
          <w:bCs/>
          <w:sz w:val="24"/>
          <w:szCs w:val="24"/>
        </w:rPr>
        <w:t>市场基准价</w:t>
      </w:r>
      <w:r>
        <w:rPr>
          <w:rFonts w:hint="eastAsia" w:ascii="宋体" w:hAnsi="宋体"/>
          <w:sz w:val="24"/>
          <w:szCs w:val="24"/>
        </w:rPr>
        <w:t>，时间以供货日前一个工作日（或最接近的日期）为确定该送货批次的市场基准价价格信息的时间节点。</w:t>
      </w:r>
    </w:p>
    <w:p w14:paraId="2A600160">
      <w:pPr>
        <w:spacing w:line="460" w:lineRule="exact"/>
        <w:ind w:firstLine="480" w:firstLineChars="200"/>
        <w:rPr>
          <w:rFonts w:hint="eastAsia" w:ascii="宋体" w:hAnsi="宋体"/>
          <w:sz w:val="24"/>
          <w:szCs w:val="24"/>
        </w:rPr>
      </w:pPr>
      <w:r>
        <w:rPr>
          <w:rFonts w:hint="eastAsia" w:ascii="宋体" w:hAnsi="宋体"/>
          <w:sz w:val="24"/>
          <w:szCs w:val="24"/>
        </w:rPr>
        <w:t>南通市发展改革委员会网站公布的“市场价格”栏中有“主副食品价格”和“通城晒价台”两组公布价，均以其最新公布的“南通市区部分市场主副食品价格的平均价”和“南通市区部分超市油、肉、蛋、菜、调味品价格的平均价”中低价为</w:t>
      </w:r>
      <w:r>
        <w:rPr>
          <w:rFonts w:hint="eastAsia" w:ascii="宋体" w:hAnsi="宋体"/>
          <w:b/>
          <w:bCs/>
          <w:sz w:val="24"/>
          <w:szCs w:val="24"/>
        </w:rPr>
        <w:t>市场基准价</w:t>
      </w:r>
      <w:r>
        <w:rPr>
          <w:rFonts w:hint="eastAsia" w:ascii="宋体" w:hAnsi="宋体"/>
          <w:sz w:val="24"/>
          <w:szCs w:val="24"/>
        </w:rPr>
        <w:t>。</w:t>
      </w:r>
      <w:r>
        <w:rPr>
          <w:rFonts w:hint="eastAsia" w:ascii="宋体" w:hAnsi="宋体"/>
          <w:sz w:val="24"/>
          <w:szCs w:val="24"/>
          <w:lang w:val="en-US" w:eastAsia="zh-CN"/>
        </w:rPr>
        <w:t>各</w:t>
      </w:r>
      <w:r>
        <w:rPr>
          <w:rFonts w:hint="eastAsia" w:ascii="宋体" w:hAnsi="宋体"/>
          <w:sz w:val="24"/>
          <w:szCs w:val="24"/>
        </w:rPr>
        <w:t>标段食材品类，以南通市发展改革委员会网站“市场价格”栏中“主副食品价格”和“通城晒价台”名目为准。如该品类某食材规定质量标准或质量等级食材没有公布平均价格，则以同品类某食材低一个标准或一个等级食材公布的平均价格为基准价格。</w:t>
      </w:r>
    </w:p>
    <w:p w14:paraId="5015137B">
      <w:pPr>
        <w:numPr>
          <w:ilvl w:val="0"/>
          <w:numId w:val="0"/>
        </w:numPr>
        <w:spacing w:line="460" w:lineRule="exact"/>
        <w:ind w:firstLine="480" w:firstLineChars="200"/>
        <w:rPr>
          <w:rFonts w:hint="eastAsia" w:ascii="宋体" w:hAnsi="宋体"/>
          <w:sz w:val="24"/>
          <w:szCs w:val="24"/>
          <w:lang w:val="en-US" w:eastAsia="zh-CN"/>
        </w:rPr>
      </w:pPr>
      <w:r>
        <w:rPr>
          <w:rFonts w:hint="eastAsia" w:ascii="宋体" w:hAnsi="宋体" w:eastAsia="宋体" w:cs="Times New Roman"/>
          <w:kern w:val="2"/>
          <w:sz w:val="24"/>
          <w:szCs w:val="24"/>
          <w:lang w:val="en-US" w:eastAsia="zh-CN" w:bidi="ar-SA"/>
        </w:rPr>
        <w:t>2.</w:t>
      </w:r>
      <w:r>
        <w:rPr>
          <w:rFonts w:hint="eastAsia" w:ascii="宋体" w:hAnsi="宋体"/>
          <w:sz w:val="24"/>
          <w:szCs w:val="24"/>
        </w:rPr>
        <w:t>本项目</w:t>
      </w:r>
      <w:r>
        <w:rPr>
          <w:rFonts w:hint="eastAsia" w:ascii="宋体" w:hAnsi="宋体"/>
          <w:sz w:val="24"/>
          <w:szCs w:val="24"/>
          <w:lang w:val="en-US" w:eastAsia="zh-CN"/>
        </w:rPr>
        <w:t>原</w:t>
      </w:r>
      <w:r>
        <w:rPr>
          <w:rFonts w:hint="eastAsia" w:ascii="宋体" w:hAnsi="宋体"/>
          <w:sz w:val="24"/>
          <w:szCs w:val="24"/>
        </w:rPr>
        <w:t>标段7</w:t>
      </w:r>
      <w:r>
        <w:rPr>
          <w:rFonts w:hint="eastAsia" w:ascii="宋体" w:hAnsi="宋体"/>
          <w:sz w:val="24"/>
          <w:szCs w:val="24"/>
          <w:lang w:val="en-US" w:eastAsia="zh-CN"/>
        </w:rPr>
        <w:t>以招标文件约定的控制价为</w:t>
      </w:r>
      <w:r>
        <w:rPr>
          <w:rFonts w:hint="eastAsia" w:ascii="宋体" w:hAnsi="宋体"/>
          <w:b/>
          <w:bCs/>
          <w:sz w:val="24"/>
          <w:szCs w:val="24"/>
        </w:rPr>
        <w:t>市场基准价</w:t>
      </w:r>
      <w:r>
        <w:rPr>
          <w:rFonts w:hint="eastAsia" w:ascii="宋体" w:hAnsi="宋体"/>
          <w:b/>
          <w:bCs/>
          <w:sz w:val="24"/>
          <w:szCs w:val="24"/>
          <w:lang w:eastAsia="zh-CN"/>
        </w:rPr>
        <w:t>（</w:t>
      </w:r>
      <w:r>
        <w:rPr>
          <w:rFonts w:hint="eastAsia" w:ascii="宋体" w:hAnsi="宋体"/>
          <w:b/>
          <w:bCs/>
          <w:sz w:val="24"/>
          <w:szCs w:val="24"/>
          <w:lang w:val="en-US" w:eastAsia="zh-CN"/>
        </w:rPr>
        <w:t>具体详见附件）</w:t>
      </w:r>
      <w:r>
        <w:rPr>
          <w:rFonts w:hint="eastAsia" w:ascii="宋体" w:hAnsi="宋体"/>
          <w:sz w:val="24"/>
          <w:szCs w:val="24"/>
          <w:lang w:val="en-US" w:eastAsia="zh-CN"/>
        </w:rPr>
        <w:t>。</w:t>
      </w:r>
    </w:p>
    <w:p w14:paraId="3341FD43">
      <w:pPr>
        <w:numPr>
          <w:ilvl w:val="0"/>
          <w:numId w:val="0"/>
        </w:num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投标人在此基础上，结合采购需求、</w:t>
      </w:r>
      <w:r>
        <w:rPr>
          <w:rFonts w:hint="eastAsia" w:ascii="宋体" w:hAnsi="宋体"/>
          <w:sz w:val="24"/>
          <w:szCs w:val="24"/>
        </w:rPr>
        <w:t>市场行情</w:t>
      </w:r>
      <w:r>
        <w:rPr>
          <w:rFonts w:hint="eastAsia" w:ascii="宋体" w:hAnsi="宋体"/>
          <w:sz w:val="24"/>
          <w:szCs w:val="24"/>
          <w:lang w:eastAsia="zh-CN"/>
        </w:rPr>
        <w:t>、</w:t>
      </w:r>
      <w:r>
        <w:rPr>
          <w:rFonts w:hint="eastAsia" w:ascii="宋体" w:hAnsi="宋体"/>
          <w:sz w:val="24"/>
          <w:szCs w:val="24"/>
        </w:rPr>
        <w:t>原材料价格波动</w:t>
      </w:r>
      <w:r>
        <w:rPr>
          <w:rFonts w:hint="eastAsia" w:ascii="宋体" w:hAnsi="宋体"/>
          <w:sz w:val="24"/>
          <w:szCs w:val="24"/>
          <w:lang w:eastAsia="zh-CN"/>
        </w:rPr>
        <w:t>、</w:t>
      </w:r>
      <w:r>
        <w:rPr>
          <w:rFonts w:hint="eastAsia" w:ascii="宋体" w:hAnsi="宋体"/>
          <w:sz w:val="24"/>
          <w:szCs w:val="24"/>
          <w:lang w:val="en-US" w:eastAsia="zh-CN"/>
        </w:rPr>
        <w:t>自身经营管理等因素综合考虑，进行折扣报价。</w:t>
      </w:r>
    </w:p>
    <w:p w14:paraId="34A75D5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成交单价=</w:t>
      </w:r>
      <w:r>
        <w:rPr>
          <w:rFonts w:hint="eastAsia" w:ascii="宋体" w:hAnsi="宋体"/>
          <w:b/>
          <w:bCs/>
          <w:sz w:val="24"/>
          <w:szCs w:val="24"/>
        </w:rPr>
        <w:t>市场基准价</w:t>
      </w:r>
      <w:r>
        <w:rPr>
          <w:rFonts w:hint="eastAsia" w:ascii="宋体" w:hAnsi="宋体"/>
          <w:sz w:val="24"/>
          <w:szCs w:val="24"/>
        </w:rPr>
        <w:t>×成交折扣。供应价包含食材、利润、供应商人工费、相关税费、运输到指定地点的装运费、搬卸费、加工费及各种损耗、检测费等一切费用。最终结算=实际需求量×成交单价。按月结算，如遇节假日、寒暑假顺延。</w:t>
      </w:r>
    </w:p>
    <w:p w14:paraId="7320369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sz w:val="24"/>
          <w:szCs w:val="24"/>
          <w:lang w:val="en-US" w:eastAsia="zh-CN"/>
        </w:rPr>
      </w:pPr>
      <w:r>
        <w:rPr>
          <w:rFonts w:hint="eastAsia" w:ascii="宋体" w:hAnsi="宋体"/>
          <w:sz w:val="24"/>
          <w:szCs w:val="24"/>
          <w:lang w:val="en-US" w:eastAsia="zh-CN"/>
        </w:rPr>
        <w:t>4.各标段投标折扣最高限价如下：</w:t>
      </w:r>
    </w:p>
    <w:tbl>
      <w:tblPr>
        <w:tblStyle w:val="57"/>
        <w:tblW w:w="8303" w:type="dxa"/>
        <w:jc w:val="center"/>
        <w:tblLayout w:type="fixed"/>
        <w:tblCellMar>
          <w:top w:w="0" w:type="dxa"/>
          <w:left w:w="0" w:type="dxa"/>
          <w:bottom w:w="0" w:type="dxa"/>
          <w:right w:w="0" w:type="dxa"/>
        </w:tblCellMar>
      </w:tblPr>
      <w:tblGrid>
        <w:gridCol w:w="1567"/>
        <w:gridCol w:w="3477"/>
        <w:gridCol w:w="3259"/>
      </w:tblGrid>
      <w:tr w14:paraId="18F27F61">
        <w:tblPrEx>
          <w:tblCellMar>
            <w:top w:w="0" w:type="dxa"/>
            <w:left w:w="0" w:type="dxa"/>
            <w:bottom w:w="0" w:type="dxa"/>
            <w:right w:w="0" w:type="dxa"/>
          </w:tblCellMar>
        </w:tblPrEx>
        <w:trPr>
          <w:trHeight w:val="547" w:hRule="exact"/>
          <w:jc w:val="center"/>
        </w:trPr>
        <w:tc>
          <w:tcPr>
            <w:tcW w:w="15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395F5">
            <w:pPr>
              <w:spacing w:after="0"/>
              <w:jc w:val="center"/>
              <w:textAlignment w:val="center"/>
              <w:rPr>
                <w:rFonts w:hint="eastAsia" w:ascii="仿宋" w:hAnsi="仿宋" w:eastAsia="仿宋" w:cs="仿宋"/>
                <w:b/>
                <w:bCs/>
                <w:sz w:val="24"/>
                <w:szCs w:val="24"/>
              </w:rPr>
            </w:pPr>
            <w:r>
              <w:rPr>
                <w:rFonts w:hint="eastAsia" w:ascii="仿宋" w:hAnsi="仿宋" w:eastAsia="仿宋" w:cs="仿宋"/>
                <w:b/>
                <w:bCs/>
                <w:sz w:val="24"/>
                <w:szCs w:val="24"/>
                <w:lang w:bidi="ar"/>
              </w:rPr>
              <w:t>标段序号</w:t>
            </w:r>
          </w:p>
        </w:tc>
        <w:tc>
          <w:tcPr>
            <w:tcW w:w="3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3CE0F">
            <w:pPr>
              <w:spacing w:after="0"/>
              <w:jc w:val="center"/>
              <w:textAlignment w:val="center"/>
              <w:rPr>
                <w:rFonts w:hint="eastAsia" w:ascii="仿宋" w:hAnsi="仿宋" w:eastAsia="仿宋" w:cs="仿宋"/>
                <w:b/>
                <w:bCs/>
                <w:sz w:val="24"/>
                <w:szCs w:val="24"/>
                <w:lang w:eastAsia="zh-CN"/>
              </w:rPr>
            </w:pPr>
            <w:r>
              <w:rPr>
                <w:rFonts w:hint="eastAsia" w:ascii="仿宋" w:hAnsi="仿宋" w:eastAsia="仿宋" w:cs="仿宋"/>
                <w:b/>
                <w:bCs/>
                <w:sz w:val="24"/>
                <w:szCs w:val="24"/>
                <w:lang w:bidi="ar"/>
              </w:rPr>
              <w:t>标</w:t>
            </w:r>
            <w:r>
              <w:rPr>
                <w:rFonts w:hint="eastAsia" w:ascii="仿宋" w:hAnsi="仿宋" w:eastAsia="仿宋" w:cs="仿宋"/>
                <w:b/>
                <w:bCs/>
                <w:sz w:val="24"/>
                <w:szCs w:val="24"/>
                <w:lang w:val="en-US" w:eastAsia="zh-CN" w:bidi="ar"/>
              </w:rPr>
              <w:t>的内容</w:t>
            </w:r>
          </w:p>
        </w:tc>
        <w:tc>
          <w:tcPr>
            <w:tcW w:w="3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D521F">
            <w:pPr>
              <w:spacing w:after="0"/>
              <w:jc w:val="center"/>
              <w:textAlignment w:val="center"/>
              <w:rPr>
                <w:rFonts w:hint="eastAsia" w:ascii="仿宋" w:hAnsi="仿宋" w:eastAsia="仿宋" w:cs="仿宋"/>
                <w:b/>
                <w:bCs/>
                <w:sz w:val="24"/>
                <w:szCs w:val="24"/>
              </w:rPr>
            </w:pPr>
            <w:r>
              <w:rPr>
                <w:rFonts w:hint="eastAsia" w:ascii="仿宋" w:hAnsi="仿宋" w:eastAsia="仿宋" w:cs="仿宋"/>
                <w:b/>
                <w:bCs/>
                <w:sz w:val="24"/>
                <w:szCs w:val="24"/>
                <w:lang w:val="en-US" w:eastAsia="zh-CN" w:bidi="ar"/>
              </w:rPr>
              <w:t>投标报价</w:t>
            </w:r>
            <w:r>
              <w:rPr>
                <w:rFonts w:hint="eastAsia" w:ascii="仿宋" w:hAnsi="仿宋" w:eastAsia="仿宋" w:cs="仿宋"/>
                <w:b/>
                <w:bCs/>
                <w:sz w:val="24"/>
                <w:szCs w:val="24"/>
                <w:lang w:bidi="ar"/>
              </w:rPr>
              <w:t>最高折扣</w:t>
            </w:r>
          </w:p>
        </w:tc>
      </w:tr>
      <w:tr w14:paraId="3393906A">
        <w:tblPrEx>
          <w:tblCellMar>
            <w:top w:w="0" w:type="dxa"/>
            <w:left w:w="0" w:type="dxa"/>
            <w:bottom w:w="0" w:type="dxa"/>
            <w:right w:w="0" w:type="dxa"/>
          </w:tblCellMar>
        </w:tblPrEx>
        <w:trPr>
          <w:trHeight w:val="390" w:hRule="exact"/>
          <w:jc w:val="center"/>
        </w:trPr>
        <w:tc>
          <w:tcPr>
            <w:tcW w:w="15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715CF">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bidi="ar"/>
              </w:rPr>
              <w:t>原</w:t>
            </w:r>
            <w:r>
              <w:rPr>
                <w:rFonts w:hint="eastAsia" w:ascii="仿宋" w:hAnsi="仿宋" w:eastAsia="仿宋" w:cs="仿宋"/>
                <w:sz w:val="24"/>
                <w:szCs w:val="24"/>
                <w:lang w:bidi="ar"/>
              </w:rPr>
              <w:t>标段2</w:t>
            </w:r>
          </w:p>
        </w:tc>
        <w:tc>
          <w:tcPr>
            <w:tcW w:w="3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FAAA18">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bidi="ar"/>
              </w:rPr>
              <w:t>面粉</w:t>
            </w:r>
          </w:p>
        </w:tc>
        <w:tc>
          <w:tcPr>
            <w:tcW w:w="3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2C893">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bidi="ar"/>
              </w:rPr>
              <w:t>≤90%</w:t>
            </w:r>
          </w:p>
        </w:tc>
      </w:tr>
      <w:tr w14:paraId="250150D6">
        <w:tblPrEx>
          <w:tblCellMar>
            <w:top w:w="0" w:type="dxa"/>
            <w:left w:w="0" w:type="dxa"/>
            <w:bottom w:w="0" w:type="dxa"/>
            <w:right w:w="0" w:type="dxa"/>
          </w:tblCellMar>
        </w:tblPrEx>
        <w:trPr>
          <w:trHeight w:val="413" w:hRule="exact"/>
          <w:jc w:val="center"/>
        </w:trPr>
        <w:tc>
          <w:tcPr>
            <w:tcW w:w="15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B2CF0">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bidi="ar"/>
              </w:rPr>
              <w:t>原</w:t>
            </w:r>
            <w:r>
              <w:rPr>
                <w:rFonts w:hint="eastAsia" w:ascii="仿宋" w:hAnsi="仿宋" w:eastAsia="仿宋" w:cs="仿宋"/>
                <w:sz w:val="24"/>
                <w:szCs w:val="24"/>
                <w:lang w:bidi="ar"/>
              </w:rPr>
              <w:t>标段5</w:t>
            </w:r>
          </w:p>
        </w:tc>
        <w:tc>
          <w:tcPr>
            <w:tcW w:w="3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19F37">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bidi="ar"/>
              </w:rPr>
              <w:t>鸡蛋</w:t>
            </w:r>
          </w:p>
        </w:tc>
        <w:tc>
          <w:tcPr>
            <w:tcW w:w="3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208A8">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bidi="ar"/>
              </w:rPr>
              <w:t>≤90%</w:t>
            </w:r>
          </w:p>
        </w:tc>
      </w:tr>
      <w:tr w14:paraId="038DE9D0">
        <w:tblPrEx>
          <w:tblCellMar>
            <w:top w:w="0" w:type="dxa"/>
            <w:left w:w="0" w:type="dxa"/>
            <w:bottom w:w="0" w:type="dxa"/>
            <w:right w:w="0" w:type="dxa"/>
          </w:tblCellMar>
        </w:tblPrEx>
        <w:trPr>
          <w:trHeight w:val="531" w:hRule="exact"/>
          <w:jc w:val="center"/>
        </w:trPr>
        <w:tc>
          <w:tcPr>
            <w:tcW w:w="15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4B93A">
            <w:pPr>
              <w:spacing w:after="0"/>
              <w:jc w:val="center"/>
              <w:textAlignment w:val="center"/>
              <w:rPr>
                <w:rFonts w:hint="eastAsia" w:ascii="仿宋" w:hAnsi="仿宋" w:eastAsia="仿宋" w:cs="仿宋"/>
                <w:sz w:val="24"/>
                <w:szCs w:val="24"/>
                <w:lang w:bidi="ar"/>
              </w:rPr>
            </w:pPr>
            <w:r>
              <w:rPr>
                <w:rFonts w:hint="eastAsia" w:ascii="仿宋" w:hAnsi="仿宋" w:eastAsia="仿宋" w:cs="仿宋"/>
                <w:sz w:val="24"/>
                <w:szCs w:val="24"/>
                <w:lang w:val="en-US" w:eastAsia="zh-CN" w:bidi="ar"/>
              </w:rPr>
              <w:t>原</w:t>
            </w:r>
            <w:r>
              <w:rPr>
                <w:rFonts w:hint="eastAsia" w:ascii="仿宋" w:hAnsi="仿宋" w:eastAsia="仿宋" w:cs="仿宋"/>
                <w:sz w:val="24"/>
                <w:szCs w:val="24"/>
                <w:lang w:bidi="ar"/>
              </w:rPr>
              <w:t>标段7</w:t>
            </w:r>
          </w:p>
        </w:tc>
        <w:tc>
          <w:tcPr>
            <w:tcW w:w="3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BBD95">
            <w:pPr>
              <w:spacing w:after="0"/>
              <w:jc w:val="center"/>
              <w:textAlignment w:val="center"/>
              <w:rPr>
                <w:rFonts w:hint="eastAsia" w:ascii="仿宋" w:hAnsi="仿宋" w:eastAsia="仿宋" w:cs="仿宋"/>
                <w:sz w:val="24"/>
                <w:szCs w:val="24"/>
                <w:lang w:bidi="ar"/>
              </w:rPr>
            </w:pPr>
            <w:r>
              <w:rPr>
                <w:rFonts w:hint="eastAsia" w:ascii="仿宋" w:hAnsi="仿宋" w:eastAsia="仿宋" w:cs="仿宋"/>
                <w:sz w:val="24"/>
                <w:szCs w:val="24"/>
                <w:lang w:bidi="ar"/>
              </w:rPr>
              <w:t>干调</w:t>
            </w:r>
          </w:p>
        </w:tc>
        <w:tc>
          <w:tcPr>
            <w:tcW w:w="3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B2FE8">
            <w:pPr>
              <w:spacing w:after="0"/>
              <w:jc w:val="center"/>
              <w:textAlignment w:val="center"/>
              <w:rPr>
                <w:rFonts w:hint="eastAsia" w:ascii="仿宋" w:hAnsi="仿宋" w:eastAsia="仿宋" w:cs="仿宋"/>
                <w:sz w:val="24"/>
                <w:szCs w:val="24"/>
                <w:lang w:bidi="ar"/>
              </w:rPr>
            </w:pPr>
            <w:r>
              <w:rPr>
                <w:rFonts w:hint="eastAsia" w:ascii="仿宋" w:hAnsi="仿宋" w:eastAsia="仿宋" w:cs="仿宋"/>
                <w:sz w:val="24"/>
                <w:szCs w:val="24"/>
                <w:lang w:bidi="ar"/>
              </w:rPr>
              <w:t>≤</w:t>
            </w:r>
            <w:r>
              <w:rPr>
                <w:rFonts w:hint="eastAsia" w:ascii="仿宋" w:hAnsi="仿宋" w:eastAsia="仿宋" w:cs="仿宋"/>
                <w:sz w:val="24"/>
                <w:szCs w:val="24"/>
                <w:lang w:val="en-US" w:eastAsia="zh-CN" w:bidi="ar"/>
              </w:rPr>
              <w:t>10</w:t>
            </w:r>
            <w:r>
              <w:rPr>
                <w:rFonts w:hint="eastAsia" w:ascii="仿宋" w:hAnsi="仿宋" w:eastAsia="仿宋" w:cs="仿宋"/>
                <w:sz w:val="24"/>
                <w:szCs w:val="24"/>
                <w:lang w:bidi="ar"/>
              </w:rPr>
              <w:t>0%</w:t>
            </w:r>
          </w:p>
        </w:tc>
      </w:tr>
    </w:tbl>
    <w:p w14:paraId="33F23DC3">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b/>
          <w:bCs/>
          <w:sz w:val="24"/>
          <w:szCs w:val="24"/>
        </w:rPr>
      </w:pPr>
      <w:r>
        <w:rPr>
          <w:rFonts w:hint="eastAsia" w:ascii="宋体" w:hAnsi="宋体"/>
          <w:b/>
          <w:bCs/>
          <w:sz w:val="24"/>
          <w:szCs w:val="24"/>
          <w:lang w:val="en-US" w:eastAsia="zh-CN"/>
        </w:rPr>
        <w:t>六</w:t>
      </w:r>
      <w:r>
        <w:rPr>
          <w:rFonts w:hint="eastAsia" w:ascii="宋体" w:hAnsi="宋体"/>
          <w:b/>
          <w:bCs/>
          <w:sz w:val="24"/>
          <w:szCs w:val="24"/>
        </w:rPr>
        <w:t>、产品配送要求</w:t>
      </w:r>
    </w:p>
    <w:p w14:paraId="56F45FA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1.根据《中华人民共和国食品安全法》等相关法律法规的要求，中标单位所供食材的卫生、质量及包装等产品必须符合相关产品的《食品安全国家标准》（GB）、农产品符合《中华人民共和国农业行业标准》（NY）和《动物检疫法》等其它相应的标准。</w:t>
      </w:r>
    </w:p>
    <w:p w14:paraId="24E031C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2.成交供应商</w:t>
      </w:r>
      <w:r>
        <w:rPr>
          <w:rFonts w:hint="eastAsia" w:ascii="宋体" w:hAnsi="宋体"/>
          <w:sz w:val="24"/>
          <w:szCs w:val="24"/>
          <w:lang w:val="zh-CN"/>
        </w:rPr>
        <w:t>必须安排一名专职管理人员，负责我校物资的配送和对接工作，</w:t>
      </w:r>
      <w:r>
        <w:rPr>
          <w:rFonts w:hint="eastAsia" w:ascii="宋体" w:hAnsi="宋体"/>
          <w:sz w:val="24"/>
          <w:szCs w:val="24"/>
        </w:rPr>
        <w:t>按采购人要求，在学校规定时间之前将物资配送到相应食堂。采购人每天14点前将次日采购单以微信、电话等形式发送给供应商，供应商最迟在当天18：00时前反馈可供货情况，如无任何反馈则视为可完全满足供货要求。</w:t>
      </w:r>
      <w:r>
        <w:rPr>
          <w:rFonts w:hint="eastAsia" w:ascii="宋体" w:hAnsi="宋体"/>
          <w:sz w:val="24"/>
          <w:szCs w:val="24"/>
          <w:lang w:val="zh-CN"/>
        </w:rPr>
        <w:t>鸡蛋</w:t>
      </w:r>
      <w:r>
        <w:rPr>
          <w:rFonts w:hint="eastAsia" w:ascii="宋体" w:hAnsi="宋体"/>
          <w:sz w:val="24"/>
          <w:szCs w:val="24"/>
        </w:rPr>
        <w:t>次日上午7:00前必须送至相应食堂，其余品类物资按约定时间送至相应食堂。</w:t>
      </w:r>
    </w:p>
    <w:p w14:paraId="68FDCEC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lang w:val="zh-CN"/>
        </w:rPr>
      </w:pPr>
      <w:r>
        <w:rPr>
          <w:rFonts w:hint="eastAsia" w:ascii="宋体" w:hAnsi="宋体"/>
          <w:sz w:val="24"/>
          <w:szCs w:val="24"/>
        </w:rPr>
        <w:t>3.相关检验检测报告,提供供货日前一个工作日南通市发展改革委员会网站公布的平均市场价，其他标段按照送货批次提供相应的检验检测报告和价格依据。采购人验货和监秤人员在《送货单》（一式三份）上签字后，双方各执一份作为结算凭证，另一份交学校备案。</w:t>
      </w:r>
    </w:p>
    <w:p w14:paraId="16CD227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4.如供应商未能及时送货，采购人进行市场应急采购，超出的成本由供应商承担，在履约保证金内抵扣。</w:t>
      </w:r>
    </w:p>
    <w:p w14:paraId="2575008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lang w:val="zh-CN"/>
        </w:rPr>
      </w:pPr>
      <w:r>
        <w:rPr>
          <w:rFonts w:hint="eastAsia" w:ascii="宋体" w:hAnsi="宋体"/>
          <w:sz w:val="24"/>
          <w:szCs w:val="24"/>
        </w:rPr>
        <w:t>5.如采购人有应急采购的其他物资，供应商价格不得高于市场零售价。</w:t>
      </w:r>
    </w:p>
    <w:p w14:paraId="31F51E5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lang w:val="zh-CN"/>
        </w:rPr>
      </w:pPr>
      <w:r>
        <w:rPr>
          <w:rFonts w:hint="eastAsia" w:ascii="宋体" w:hAnsi="宋体"/>
          <w:sz w:val="24"/>
          <w:szCs w:val="24"/>
        </w:rPr>
        <w:t>6.成交供应商</w:t>
      </w:r>
      <w:r>
        <w:rPr>
          <w:rFonts w:hint="eastAsia" w:ascii="宋体" w:hAnsi="宋体"/>
          <w:sz w:val="24"/>
          <w:szCs w:val="24"/>
          <w:lang w:val="zh-CN"/>
        </w:rPr>
        <w:t>应具备固定的自备车辆为采购人进行物资配送。</w:t>
      </w:r>
      <w:r>
        <w:rPr>
          <w:rFonts w:hint="eastAsia" w:ascii="宋体" w:hAnsi="宋体"/>
          <w:sz w:val="24"/>
          <w:szCs w:val="24"/>
        </w:rPr>
        <w:t>供应商</w:t>
      </w:r>
      <w:r>
        <w:rPr>
          <w:rFonts w:hint="eastAsia" w:ascii="宋体" w:hAnsi="宋体"/>
          <w:sz w:val="24"/>
          <w:szCs w:val="24"/>
          <w:lang w:val="zh-CN"/>
        </w:rPr>
        <w:t>在配送中应严格遵守国家各项法律法规，并承担由于违章、肇事、违法等行为所产生的全部责任及经济损失。</w:t>
      </w:r>
    </w:p>
    <w:p w14:paraId="4B6E31A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7.供应商须按照学校采购管理人员通知的时间、数量、品种、质量要求准时送货，验收合格后签字确认。供应商不得以任何理由推脱、拖延供货时间，一旦因供应商供货影响到学校食堂的正常运转，供应商应承担相应的经济赔偿和违约责任。</w:t>
      </w:r>
    </w:p>
    <w:p w14:paraId="289F796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8.供应商须提供免费装卸服务，按照学校要求将所供物品摆放到指定的库房（开发区校区食堂共三层，有电梯）。</w:t>
      </w:r>
    </w:p>
    <w:p w14:paraId="26FB8AF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9.配送过程中，必须符合食品配送要求，应使用专用配送车辆，确保货物的品质。</w:t>
      </w:r>
    </w:p>
    <w:p w14:paraId="61DDA4BA">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b/>
          <w:bCs/>
          <w:sz w:val="24"/>
          <w:szCs w:val="24"/>
          <w:lang w:val="en-US" w:eastAsia="zh-CN"/>
        </w:rPr>
      </w:pPr>
      <w:r>
        <w:rPr>
          <w:rFonts w:hint="eastAsia" w:ascii="宋体" w:hAnsi="宋体"/>
          <w:b/>
          <w:bCs/>
          <w:sz w:val="24"/>
          <w:szCs w:val="24"/>
          <w:lang w:val="en-US" w:eastAsia="zh-CN"/>
        </w:rPr>
        <w:t>七、相关说明</w:t>
      </w:r>
    </w:p>
    <w:p w14:paraId="04B805A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1.在供应过程中出现产品质量安全、卫生等重大问题时，学校有权启用履约保证金先行支付相关费用。在合同终止时，供货商在已完全承担全部经济与法律责任（如经济、劳工、合约纠纷、赔偿责任等）后无息返还剩余部分（如有）。</w:t>
      </w:r>
    </w:p>
    <w:p w14:paraId="32EDD76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2.供应商违反合同规定，校方有权单方面解除合同，所造成的损失由中标单位自行负责。</w:t>
      </w:r>
    </w:p>
    <w:p w14:paraId="3C1CA49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3.在合同有效期内，供应商单方面终止或解除合同，其所缴纳的履约保证金不予退还，所有损失由供应商自行承担。</w:t>
      </w:r>
    </w:p>
    <w:p w14:paraId="6D91BE3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4.成交供应商承诺：签订合同前提供学校合作银行相关结算账号用于今后结算使用。</w:t>
      </w:r>
    </w:p>
    <w:p w14:paraId="100C2244">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.履约保证金</w:t>
      </w:r>
    </w:p>
    <w:p w14:paraId="4E9E2CCC">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.1本项目成交后的履约保证金为：</w:t>
      </w:r>
    </w:p>
    <w:tbl>
      <w:tblPr>
        <w:tblStyle w:val="57"/>
        <w:tblW w:w="6654" w:type="dxa"/>
        <w:jc w:val="center"/>
        <w:tblLayout w:type="fixed"/>
        <w:tblCellMar>
          <w:top w:w="0" w:type="dxa"/>
          <w:left w:w="108" w:type="dxa"/>
          <w:bottom w:w="0" w:type="dxa"/>
          <w:right w:w="108" w:type="dxa"/>
        </w:tblCellMar>
      </w:tblPr>
      <w:tblGrid>
        <w:gridCol w:w="1732"/>
        <w:gridCol w:w="2645"/>
        <w:gridCol w:w="2277"/>
      </w:tblGrid>
      <w:tr w14:paraId="2AB6647F">
        <w:tblPrEx>
          <w:tblCellMar>
            <w:top w:w="0" w:type="dxa"/>
            <w:left w:w="108" w:type="dxa"/>
            <w:bottom w:w="0" w:type="dxa"/>
            <w:right w:w="108" w:type="dxa"/>
          </w:tblCellMar>
        </w:tblPrEx>
        <w:trPr>
          <w:trHeight w:val="624" w:hRule="atLeast"/>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2E87A924">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标段序号</w:t>
            </w:r>
          </w:p>
        </w:tc>
        <w:tc>
          <w:tcPr>
            <w:tcW w:w="2645" w:type="dxa"/>
            <w:tcBorders>
              <w:top w:val="single" w:color="auto" w:sz="4" w:space="0"/>
              <w:left w:val="nil"/>
              <w:bottom w:val="single" w:color="auto" w:sz="4" w:space="0"/>
              <w:right w:val="single" w:color="auto" w:sz="4" w:space="0"/>
            </w:tcBorders>
            <w:noWrap w:val="0"/>
            <w:vAlign w:val="center"/>
          </w:tcPr>
          <w:p w14:paraId="28FA48AE">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标段名称</w:t>
            </w:r>
          </w:p>
        </w:tc>
        <w:tc>
          <w:tcPr>
            <w:tcW w:w="2277" w:type="dxa"/>
            <w:tcBorders>
              <w:top w:val="single" w:color="auto" w:sz="4" w:space="0"/>
              <w:left w:val="nil"/>
              <w:bottom w:val="single" w:color="auto" w:sz="4" w:space="0"/>
              <w:right w:val="single" w:color="auto" w:sz="4" w:space="0"/>
            </w:tcBorders>
            <w:noWrap w:val="0"/>
            <w:vAlign w:val="center"/>
          </w:tcPr>
          <w:p w14:paraId="221D0261">
            <w:pPr>
              <w:keepNext w:val="0"/>
              <w:keepLines w:val="0"/>
              <w:pageBreakBefore w:val="0"/>
              <w:kinsoku/>
              <w:overflowPunct/>
              <w:topLinePunct w:val="0"/>
              <w:bidi w:val="0"/>
              <w:spacing w:after="0" w:line="300" w:lineRule="auto"/>
              <w:jc w:val="center"/>
              <w:textAlignment w:val="auto"/>
              <w:rPr>
                <w:rFonts w:hint="eastAsia" w:ascii="仿宋" w:hAnsi="仿宋" w:eastAsia="仿宋" w:cs="仿宋"/>
                <w:b/>
                <w:bCs/>
                <w:sz w:val="22"/>
                <w:szCs w:val="22"/>
              </w:rPr>
            </w:pPr>
            <w:r>
              <w:rPr>
                <w:rFonts w:hint="eastAsia" w:ascii="仿宋" w:hAnsi="仿宋" w:eastAsia="仿宋" w:cs="仿宋"/>
                <w:b/>
                <w:bCs/>
                <w:spacing w:val="7"/>
                <w:sz w:val="22"/>
                <w:szCs w:val="22"/>
                <w:lang w:val="en-US" w:eastAsia="zh-CN"/>
              </w:rPr>
              <w:t>履约保证金</w:t>
            </w:r>
            <w:r>
              <w:rPr>
                <w:rFonts w:hint="eastAsia" w:ascii="仿宋" w:hAnsi="仿宋" w:eastAsia="仿宋" w:cs="仿宋"/>
                <w:b/>
                <w:bCs/>
                <w:spacing w:val="7"/>
                <w:sz w:val="22"/>
                <w:szCs w:val="22"/>
              </w:rPr>
              <w:t>（万元）</w:t>
            </w:r>
          </w:p>
        </w:tc>
      </w:tr>
      <w:tr w14:paraId="69A7FF3D">
        <w:tblPrEx>
          <w:tblCellMar>
            <w:top w:w="0" w:type="dxa"/>
            <w:left w:w="108" w:type="dxa"/>
            <w:bottom w:w="0" w:type="dxa"/>
            <w:right w:w="108" w:type="dxa"/>
          </w:tblCellMar>
        </w:tblPrEx>
        <w:trPr>
          <w:trHeight w:val="624" w:hRule="atLeast"/>
          <w:jc w:val="center"/>
        </w:trPr>
        <w:tc>
          <w:tcPr>
            <w:tcW w:w="1732" w:type="dxa"/>
            <w:tcBorders>
              <w:top w:val="nil"/>
              <w:left w:val="single" w:color="auto" w:sz="4" w:space="0"/>
              <w:bottom w:val="single" w:color="auto" w:sz="4" w:space="0"/>
              <w:right w:val="single" w:color="auto" w:sz="4" w:space="0"/>
            </w:tcBorders>
            <w:noWrap w:val="0"/>
            <w:vAlign w:val="center"/>
          </w:tcPr>
          <w:p w14:paraId="38EE7B5F">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标段2</w:t>
            </w:r>
          </w:p>
        </w:tc>
        <w:tc>
          <w:tcPr>
            <w:tcW w:w="2645" w:type="dxa"/>
            <w:tcBorders>
              <w:top w:val="nil"/>
              <w:left w:val="nil"/>
              <w:bottom w:val="single" w:color="auto" w:sz="4" w:space="0"/>
              <w:right w:val="single" w:color="auto" w:sz="4" w:space="0"/>
            </w:tcBorders>
            <w:noWrap w:val="0"/>
            <w:vAlign w:val="center"/>
          </w:tcPr>
          <w:p w14:paraId="6960E138">
            <w:pPr>
              <w:spacing w:after="0"/>
              <w:jc w:val="center"/>
              <w:rPr>
                <w:rFonts w:hint="eastAsia" w:ascii="仿宋" w:hAnsi="仿宋" w:eastAsia="仿宋" w:cs="仿宋"/>
                <w:sz w:val="22"/>
                <w:szCs w:val="22"/>
              </w:rPr>
            </w:pPr>
            <w:r>
              <w:rPr>
                <w:rFonts w:hint="eastAsia" w:ascii="仿宋" w:hAnsi="仿宋" w:eastAsia="仿宋" w:cs="仿宋"/>
                <w:sz w:val="22"/>
                <w:szCs w:val="22"/>
              </w:rPr>
              <w:t>面粉</w:t>
            </w:r>
          </w:p>
        </w:tc>
        <w:tc>
          <w:tcPr>
            <w:tcW w:w="2277" w:type="dxa"/>
            <w:tcBorders>
              <w:top w:val="nil"/>
              <w:left w:val="nil"/>
              <w:bottom w:val="single" w:color="auto" w:sz="4" w:space="0"/>
              <w:right w:val="single" w:color="auto" w:sz="4" w:space="0"/>
            </w:tcBorders>
            <w:noWrap w:val="0"/>
            <w:vAlign w:val="center"/>
          </w:tcPr>
          <w:p w14:paraId="0051706A">
            <w:pPr>
              <w:keepNext w:val="0"/>
              <w:keepLines w:val="0"/>
              <w:pageBreakBefore w:val="0"/>
              <w:kinsoku/>
              <w:overflowPunct/>
              <w:topLinePunct w:val="0"/>
              <w:bidi w:val="0"/>
              <w:spacing w:after="0" w:line="300" w:lineRule="auto"/>
              <w:jc w:val="center"/>
              <w:textAlignment w:val="auto"/>
              <w:rPr>
                <w:rFonts w:hint="default" w:ascii="仿宋" w:hAnsi="仿宋" w:eastAsia="仿宋" w:cs="仿宋"/>
                <w:sz w:val="22"/>
                <w:szCs w:val="22"/>
                <w:lang w:val="en-US" w:eastAsia="zh-CN"/>
              </w:rPr>
            </w:pPr>
            <w:r>
              <w:rPr>
                <w:rFonts w:hint="eastAsia" w:ascii="仿宋" w:hAnsi="仿宋" w:eastAsia="仿宋" w:cs="仿宋"/>
                <w:spacing w:val="7"/>
                <w:sz w:val="22"/>
                <w:szCs w:val="22"/>
                <w:lang w:val="en-US" w:eastAsia="zh-CN"/>
              </w:rPr>
              <w:t>0.50</w:t>
            </w:r>
          </w:p>
        </w:tc>
      </w:tr>
      <w:tr w14:paraId="26E0F8C4">
        <w:tblPrEx>
          <w:tblCellMar>
            <w:top w:w="0" w:type="dxa"/>
            <w:left w:w="108" w:type="dxa"/>
            <w:bottom w:w="0" w:type="dxa"/>
            <w:right w:w="108" w:type="dxa"/>
          </w:tblCellMar>
        </w:tblPrEx>
        <w:trPr>
          <w:trHeight w:val="624" w:hRule="atLeast"/>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327C7035">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标段5</w:t>
            </w:r>
          </w:p>
        </w:tc>
        <w:tc>
          <w:tcPr>
            <w:tcW w:w="2645" w:type="dxa"/>
            <w:tcBorders>
              <w:top w:val="single" w:color="auto" w:sz="4" w:space="0"/>
              <w:left w:val="single" w:color="auto" w:sz="4" w:space="0"/>
              <w:bottom w:val="single" w:color="auto" w:sz="4" w:space="0"/>
              <w:right w:val="single" w:color="auto" w:sz="4" w:space="0"/>
            </w:tcBorders>
            <w:noWrap w:val="0"/>
            <w:vAlign w:val="center"/>
          </w:tcPr>
          <w:p w14:paraId="3F9A2D5A">
            <w:pPr>
              <w:spacing w:after="0"/>
              <w:jc w:val="center"/>
              <w:rPr>
                <w:rFonts w:hint="eastAsia" w:ascii="仿宋" w:hAnsi="仿宋" w:eastAsia="仿宋" w:cs="仿宋"/>
                <w:sz w:val="22"/>
                <w:szCs w:val="22"/>
              </w:rPr>
            </w:pPr>
            <w:r>
              <w:rPr>
                <w:rFonts w:hint="eastAsia" w:ascii="仿宋" w:hAnsi="仿宋" w:eastAsia="仿宋" w:cs="仿宋"/>
                <w:sz w:val="22"/>
                <w:szCs w:val="22"/>
              </w:rPr>
              <w:t>鸡蛋</w:t>
            </w:r>
          </w:p>
        </w:tc>
        <w:tc>
          <w:tcPr>
            <w:tcW w:w="2277" w:type="dxa"/>
            <w:tcBorders>
              <w:top w:val="single" w:color="auto" w:sz="4" w:space="0"/>
              <w:left w:val="single" w:color="auto" w:sz="4" w:space="0"/>
              <w:bottom w:val="single" w:color="auto" w:sz="4" w:space="0"/>
              <w:right w:val="single" w:color="auto" w:sz="4" w:space="0"/>
            </w:tcBorders>
            <w:noWrap w:val="0"/>
            <w:vAlign w:val="center"/>
          </w:tcPr>
          <w:p w14:paraId="38805986">
            <w:pPr>
              <w:keepNext w:val="0"/>
              <w:keepLines w:val="0"/>
              <w:pageBreakBefore w:val="0"/>
              <w:kinsoku/>
              <w:overflowPunct/>
              <w:topLinePunct w:val="0"/>
              <w:bidi w:val="0"/>
              <w:spacing w:after="0" w:line="300" w:lineRule="auto"/>
              <w:jc w:val="center"/>
              <w:textAlignment w:val="auto"/>
              <w:rPr>
                <w:rFonts w:hint="default" w:ascii="仿宋" w:hAnsi="仿宋" w:eastAsia="仿宋" w:cs="仿宋"/>
                <w:sz w:val="22"/>
                <w:szCs w:val="22"/>
                <w:lang w:val="en-US" w:eastAsia="zh-CN"/>
              </w:rPr>
            </w:pPr>
            <w:r>
              <w:rPr>
                <w:rFonts w:hint="eastAsia" w:ascii="仿宋" w:hAnsi="仿宋" w:eastAsia="仿宋" w:cs="仿宋"/>
                <w:spacing w:val="7"/>
                <w:sz w:val="22"/>
                <w:szCs w:val="22"/>
                <w:lang w:val="en-US" w:eastAsia="zh-CN"/>
              </w:rPr>
              <w:t>1.25</w:t>
            </w:r>
          </w:p>
        </w:tc>
      </w:tr>
      <w:tr w14:paraId="2F8B9831">
        <w:tblPrEx>
          <w:tblCellMar>
            <w:top w:w="0" w:type="dxa"/>
            <w:left w:w="108" w:type="dxa"/>
            <w:bottom w:w="0" w:type="dxa"/>
            <w:right w:w="108" w:type="dxa"/>
          </w:tblCellMar>
        </w:tblPrEx>
        <w:trPr>
          <w:trHeight w:val="624" w:hRule="atLeast"/>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1EB933F1">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lang w:val="en-US" w:eastAsia="zh-CN"/>
              </w:rPr>
              <w:t>原</w:t>
            </w:r>
            <w:r>
              <w:rPr>
                <w:rFonts w:hint="eastAsia" w:ascii="仿宋" w:hAnsi="仿宋" w:eastAsia="仿宋" w:cs="仿宋"/>
                <w:spacing w:val="7"/>
                <w:sz w:val="22"/>
                <w:szCs w:val="22"/>
              </w:rPr>
              <w:t>标段7</w:t>
            </w:r>
          </w:p>
        </w:tc>
        <w:tc>
          <w:tcPr>
            <w:tcW w:w="2645" w:type="dxa"/>
            <w:tcBorders>
              <w:top w:val="single" w:color="auto" w:sz="4" w:space="0"/>
              <w:left w:val="single" w:color="auto" w:sz="4" w:space="0"/>
              <w:bottom w:val="single" w:color="auto" w:sz="4" w:space="0"/>
              <w:right w:val="single" w:color="auto" w:sz="4" w:space="0"/>
            </w:tcBorders>
            <w:noWrap w:val="0"/>
            <w:vAlign w:val="center"/>
          </w:tcPr>
          <w:p w14:paraId="4372ECED">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干调</w:t>
            </w:r>
          </w:p>
        </w:tc>
        <w:tc>
          <w:tcPr>
            <w:tcW w:w="2277" w:type="dxa"/>
            <w:tcBorders>
              <w:top w:val="single" w:color="auto" w:sz="4" w:space="0"/>
              <w:left w:val="single" w:color="auto" w:sz="4" w:space="0"/>
              <w:bottom w:val="single" w:color="auto" w:sz="4" w:space="0"/>
              <w:right w:val="single" w:color="auto" w:sz="4" w:space="0"/>
            </w:tcBorders>
            <w:noWrap w:val="0"/>
            <w:vAlign w:val="center"/>
          </w:tcPr>
          <w:p w14:paraId="0BB78CC7">
            <w:pPr>
              <w:keepNext w:val="0"/>
              <w:keepLines w:val="0"/>
              <w:pageBreakBefore w:val="0"/>
              <w:kinsoku/>
              <w:overflowPunct/>
              <w:topLinePunct w:val="0"/>
              <w:bidi w:val="0"/>
              <w:spacing w:after="0" w:line="300" w:lineRule="auto"/>
              <w:jc w:val="center"/>
              <w:textAlignment w:val="auto"/>
              <w:rPr>
                <w:rFonts w:hint="default" w:ascii="仿宋" w:hAnsi="仿宋" w:eastAsia="仿宋" w:cs="仿宋"/>
                <w:spacing w:val="7"/>
                <w:sz w:val="22"/>
                <w:szCs w:val="22"/>
                <w:lang w:val="en-US" w:eastAsia="zh-CN"/>
              </w:rPr>
            </w:pPr>
            <w:r>
              <w:rPr>
                <w:rFonts w:hint="eastAsia" w:ascii="仿宋" w:hAnsi="仿宋" w:eastAsia="仿宋" w:cs="仿宋"/>
                <w:spacing w:val="7"/>
                <w:sz w:val="22"/>
                <w:szCs w:val="22"/>
                <w:lang w:val="en-US" w:eastAsia="zh-CN"/>
              </w:rPr>
              <w:t>1.75</w:t>
            </w:r>
          </w:p>
        </w:tc>
      </w:tr>
    </w:tbl>
    <w:p w14:paraId="100C228C">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.2中标供应商的履约保证金须在成交通知书发出之日起至合同签订前汇入</w:t>
      </w:r>
      <w:r>
        <w:rPr>
          <w:rFonts w:hint="eastAsia" w:ascii="宋体" w:hAnsi="宋体" w:cs="宋体"/>
          <w:spacing w:val="7"/>
          <w:sz w:val="24"/>
          <w:szCs w:val="24"/>
          <w:lang w:eastAsia="zh-CN"/>
        </w:rPr>
        <w:t>招标单位</w:t>
      </w:r>
      <w:r>
        <w:rPr>
          <w:rFonts w:hint="eastAsia" w:ascii="宋体" w:hAnsi="宋体" w:cs="宋体"/>
          <w:spacing w:val="7"/>
          <w:sz w:val="24"/>
          <w:szCs w:val="24"/>
        </w:rPr>
        <w:t>账户，中标供应商凭成交通知书与</w:t>
      </w:r>
      <w:r>
        <w:rPr>
          <w:rFonts w:hint="eastAsia" w:ascii="宋体" w:hAnsi="宋体" w:cs="宋体"/>
          <w:spacing w:val="7"/>
          <w:sz w:val="24"/>
          <w:szCs w:val="24"/>
          <w:lang w:eastAsia="zh-CN"/>
        </w:rPr>
        <w:t>招标单位</w:t>
      </w:r>
      <w:r>
        <w:rPr>
          <w:rFonts w:hint="eastAsia" w:ascii="宋体" w:hAnsi="宋体" w:cs="宋体"/>
          <w:spacing w:val="7"/>
          <w:sz w:val="24"/>
          <w:szCs w:val="24"/>
        </w:rPr>
        <w:t>签订合同。超期或未有协商，则视为自动放弃成交资格</w:t>
      </w:r>
      <w:r>
        <w:rPr>
          <w:rFonts w:hint="eastAsia" w:ascii="宋体" w:hAnsi="宋体" w:cs="宋体"/>
          <w:spacing w:val="7"/>
          <w:sz w:val="24"/>
          <w:szCs w:val="24"/>
          <w:lang w:eastAsia="zh-CN"/>
        </w:rPr>
        <w:t>，</w:t>
      </w:r>
      <w:r>
        <w:rPr>
          <w:rFonts w:hint="eastAsia" w:ascii="宋体" w:hAnsi="宋体" w:cs="宋体"/>
          <w:spacing w:val="7"/>
          <w:sz w:val="24"/>
          <w:szCs w:val="24"/>
          <w:lang w:val="en-US" w:eastAsia="zh-CN"/>
        </w:rPr>
        <w:t>没收其投标保证金</w:t>
      </w:r>
      <w:r>
        <w:rPr>
          <w:rFonts w:hint="eastAsia" w:ascii="宋体" w:hAnsi="宋体" w:cs="宋体"/>
          <w:spacing w:val="7"/>
          <w:sz w:val="24"/>
          <w:szCs w:val="24"/>
        </w:rPr>
        <w:t>。</w:t>
      </w:r>
    </w:p>
    <w:p w14:paraId="100C228D">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.3中标供应商在按要求保质保量的履行该项目合同无任何食品安全问题后，</w:t>
      </w:r>
      <w:r>
        <w:rPr>
          <w:rFonts w:hint="eastAsia" w:ascii="宋体" w:hAnsi="宋体" w:cs="宋体"/>
          <w:spacing w:val="7"/>
          <w:sz w:val="24"/>
          <w:szCs w:val="24"/>
          <w:lang w:eastAsia="zh-CN"/>
        </w:rPr>
        <w:t>招标单位</w:t>
      </w:r>
      <w:r>
        <w:rPr>
          <w:rFonts w:hint="eastAsia" w:ascii="宋体" w:hAnsi="宋体" w:cs="宋体"/>
          <w:spacing w:val="7"/>
          <w:sz w:val="24"/>
          <w:szCs w:val="24"/>
        </w:rPr>
        <w:t>凭中标供应商提交的申请，一次性无息退还该合同项目的履约保证金。</w:t>
      </w:r>
    </w:p>
    <w:p w14:paraId="100C228E">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.4发生以下情况的，履约保证金不予退还或部分退还：</w:t>
      </w:r>
    </w:p>
    <w:p w14:paraId="100C228F">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rPr>
        <w:t>a.签订合同后，成交供应商不履行合同义务的，</w:t>
      </w:r>
      <w:r>
        <w:rPr>
          <w:rFonts w:hint="eastAsia" w:ascii="宋体" w:hAnsi="宋体" w:cs="宋体"/>
          <w:spacing w:val="7"/>
          <w:sz w:val="24"/>
          <w:szCs w:val="24"/>
          <w:lang w:eastAsia="zh-CN"/>
        </w:rPr>
        <w:t>招标单位</w:t>
      </w:r>
      <w:r>
        <w:rPr>
          <w:rFonts w:hint="eastAsia" w:ascii="宋体" w:hAnsi="宋体" w:cs="宋体"/>
          <w:spacing w:val="7"/>
          <w:sz w:val="24"/>
          <w:szCs w:val="24"/>
        </w:rPr>
        <w:t>有权全额扣除履约保证金，同时</w:t>
      </w:r>
      <w:r>
        <w:rPr>
          <w:rFonts w:hint="eastAsia" w:ascii="宋体" w:hAnsi="宋体" w:cs="宋体"/>
          <w:spacing w:val="7"/>
          <w:sz w:val="24"/>
          <w:szCs w:val="24"/>
          <w:lang w:eastAsia="zh-CN"/>
        </w:rPr>
        <w:t>招标单位</w:t>
      </w:r>
      <w:r>
        <w:rPr>
          <w:rFonts w:hint="eastAsia" w:ascii="宋体" w:hAnsi="宋体" w:cs="宋体"/>
          <w:spacing w:val="7"/>
          <w:sz w:val="24"/>
          <w:szCs w:val="24"/>
        </w:rPr>
        <w:t>亦有权终止合同，中标供应商还须承担相应的法律赔偿责任；</w:t>
      </w:r>
    </w:p>
    <w:p w14:paraId="100C2290">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rPr>
        <w:t>b.成交供应商在履约过程中发生违约行为，给</w:t>
      </w:r>
      <w:r>
        <w:rPr>
          <w:rFonts w:hint="eastAsia" w:ascii="宋体" w:hAnsi="宋体" w:cs="宋体"/>
          <w:spacing w:val="7"/>
          <w:sz w:val="24"/>
          <w:szCs w:val="24"/>
          <w:lang w:eastAsia="zh-CN"/>
        </w:rPr>
        <w:t>招标单位</w:t>
      </w:r>
      <w:r>
        <w:rPr>
          <w:rFonts w:hint="eastAsia" w:ascii="宋体" w:hAnsi="宋体" w:cs="宋体"/>
          <w:spacing w:val="7"/>
          <w:sz w:val="24"/>
          <w:szCs w:val="24"/>
        </w:rPr>
        <w:t>造成损失的，</w:t>
      </w:r>
      <w:r>
        <w:rPr>
          <w:rFonts w:hint="eastAsia" w:ascii="宋体" w:hAnsi="宋体" w:cs="宋体"/>
          <w:spacing w:val="7"/>
          <w:sz w:val="24"/>
          <w:szCs w:val="24"/>
          <w:lang w:eastAsia="zh-CN"/>
        </w:rPr>
        <w:t>招标单位</w:t>
      </w:r>
      <w:r>
        <w:rPr>
          <w:rFonts w:hint="eastAsia" w:ascii="宋体" w:hAnsi="宋体" w:cs="宋体"/>
          <w:spacing w:val="7"/>
          <w:sz w:val="24"/>
          <w:szCs w:val="24"/>
        </w:rPr>
        <w:t>有权在成交供应商缴纳的履约保证金中予以扣款，以弥补</w:t>
      </w:r>
      <w:r>
        <w:rPr>
          <w:rFonts w:hint="eastAsia" w:ascii="宋体" w:hAnsi="宋体" w:cs="宋体"/>
          <w:spacing w:val="7"/>
          <w:sz w:val="24"/>
          <w:szCs w:val="24"/>
          <w:lang w:eastAsia="zh-CN"/>
        </w:rPr>
        <w:t>招标单位</w:t>
      </w:r>
      <w:r>
        <w:rPr>
          <w:rFonts w:hint="eastAsia" w:ascii="宋体" w:hAnsi="宋体" w:cs="宋体"/>
          <w:spacing w:val="7"/>
          <w:sz w:val="24"/>
          <w:szCs w:val="24"/>
        </w:rPr>
        <w:t>经济损失，不足的部分成交供应商另外补齐。</w:t>
      </w:r>
    </w:p>
    <w:p w14:paraId="100C2296">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ascii="宋体" w:hAnsi="宋体"/>
          <w:sz w:val="24"/>
          <w:szCs w:val="24"/>
        </w:rPr>
      </w:pPr>
      <w:r>
        <w:rPr>
          <w:rFonts w:hint="eastAsia" w:ascii="宋体" w:hAnsi="宋体"/>
          <w:b/>
          <w:sz w:val="24"/>
          <w:szCs w:val="24"/>
          <w:lang w:val="en-US" w:eastAsia="zh-CN"/>
        </w:rPr>
        <w:t>6.</w:t>
      </w:r>
      <w:r>
        <w:rPr>
          <w:rFonts w:ascii="宋体" w:hAnsi="宋体"/>
          <w:sz w:val="24"/>
          <w:szCs w:val="24"/>
        </w:rPr>
        <w:t>成交供应商应主动配合学校食堂承包人做好索票、索证等工作，如不按要求提供索证，索票以及各类食品的原材料的检测报告和各类动物检验检疫证，将终止合同。</w:t>
      </w:r>
    </w:p>
    <w:p w14:paraId="0E8C399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7</w:t>
      </w:r>
      <w:r>
        <w:rPr>
          <w:rFonts w:ascii="宋体" w:hAnsi="宋体"/>
          <w:sz w:val="24"/>
          <w:szCs w:val="24"/>
        </w:rPr>
        <w:t>.成交供应商在配送过程中，如有质量、服务不到位不满意或产生异议，学校经核实情况属实，可按如下方式执行: 接学校食堂承包经营人举报货物质量有问题通知，在12小时内约请经第三方认证的产品质量监督部门抽样检测</w:t>
      </w:r>
      <w:r>
        <w:rPr>
          <w:rFonts w:hint="eastAsia" w:ascii="宋体" w:hAnsi="宋体"/>
          <w:sz w:val="24"/>
          <w:szCs w:val="24"/>
          <w:lang w:eastAsia="zh-CN"/>
        </w:rPr>
        <w:t>。</w:t>
      </w:r>
      <w:r>
        <w:rPr>
          <w:rFonts w:ascii="宋体" w:hAnsi="宋体"/>
          <w:sz w:val="24"/>
          <w:szCs w:val="24"/>
          <w:lang w:val="en-US" w:eastAsia="zh-CN"/>
        </w:rPr>
        <w:t>校方现场验收区分轻微瑕疵、严重质量问题两类：</w:t>
      </w:r>
    </w:p>
    <w:p w14:paraId="7CDAF8A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7.1</w:t>
      </w:r>
      <w:r>
        <w:rPr>
          <w:rFonts w:ascii="宋体" w:hAnsi="宋体"/>
          <w:sz w:val="24"/>
          <w:szCs w:val="24"/>
        </w:rPr>
        <w:t>轻微瑕疵（外包装破损、标签模糊、剩余保质期临近等不影响食品安全问题）：单次仅收取第三方检测费用，不扣除履约保证金，累计3次轻微瑕疵按 1 次不合格质量问题计；</w:t>
      </w:r>
    </w:p>
    <w:p w14:paraId="0650CD0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7.2</w:t>
      </w:r>
      <w:r>
        <w:rPr>
          <w:rFonts w:ascii="宋体" w:hAnsi="宋体"/>
          <w:sz w:val="24"/>
          <w:szCs w:val="24"/>
        </w:rPr>
        <w:t xml:space="preserve">严重质量问题（食材变质、兽药 / 农残超标、过期食材等食品安全隐患）执行梯度处罚： </w:t>
      </w:r>
    </w:p>
    <w:p w14:paraId="46943F4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sz w:val="24"/>
          <w:szCs w:val="24"/>
        </w:rPr>
        <w:t>①首次严重不合格：供应商承担全部检测费用，扣除履约保证金20%；</w:t>
      </w:r>
    </w:p>
    <w:p w14:paraId="1D327D7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sz w:val="24"/>
          <w:szCs w:val="24"/>
        </w:rPr>
        <w:t>②第二次严重不合格：供应商承担全部检测费用，扣除履约保证金50%；</w:t>
      </w:r>
    </w:p>
    <w:p w14:paraId="61116C9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sz w:val="24"/>
          <w:szCs w:val="24"/>
        </w:rPr>
        <w:t>③第三次严重不合格：全额扣除履约保证金，校方单方面终止供货合同，一切损失由供应商承担。</w:t>
      </w:r>
    </w:p>
    <w:p w14:paraId="1764106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lang w:val="en-US" w:eastAsia="zh-CN"/>
        </w:rPr>
        <w:t>7.3</w:t>
      </w:r>
      <w:r>
        <w:rPr>
          <w:rFonts w:ascii="宋体" w:hAnsi="宋体"/>
          <w:sz w:val="24"/>
          <w:szCs w:val="24"/>
        </w:rPr>
        <w:t>配送中发现未使用冷链车配送的，每发现一次扣除履约保证金1000元。学校依照合同追究违约责任。为了不影响食堂正常</w:t>
      </w:r>
      <w:r>
        <w:rPr>
          <w:rFonts w:hint="eastAsia" w:ascii="宋体" w:hAnsi="宋体"/>
          <w:sz w:val="24"/>
          <w:szCs w:val="24"/>
        </w:rPr>
        <w:t>开餐，学校有权将扣除的履约保证金进行市场采购。成交供应商应无条件接受学校、市场监督部门的管理、指导、监督、考核。</w:t>
      </w:r>
    </w:p>
    <w:p w14:paraId="100C229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eastAsia="宋体" w:cs="Times New Roman"/>
          <w:kern w:val="2"/>
          <w:sz w:val="24"/>
          <w:szCs w:val="24"/>
          <w:lang w:val="en-US" w:eastAsia="zh-CN" w:bidi="ar-SA"/>
        </w:rPr>
        <w:t>8.</w:t>
      </w:r>
      <w:r>
        <w:rPr>
          <w:rFonts w:ascii="宋体" w:hAnsi="宋体" w:eastAsia="宋体" w:cs="宋体"/>
          <w:color w:val="auto"/>
          <w:sz w:val="24"/>
          <w:szCs w:val="24"/>
        </w:rPr>
        <w:t>成交供应商配送的食品原材料须符合合同约定及食品安全管理要求，接受学校常态化动态验收管理。凡单次配送批次出现食材质量不达标、过期变质、规格不符、违规供货等违约情形的，采购人有权</w:t>
      </w:r>
      <w:r>
        <w:rPr>
          <w:rStyle w:val="60"/>
          <w:rFonts w:ascii="宋体" w:hAnsi="宋体" w:eastAsia="宋体" w:cs="宋体"/>
          <w:color w:val="auto"/>
          <w:sz w:val="24"/>
          <w:szCs w:val="24"/>
        </w:rPr>
        <w:t>按本次违约对应批次结算金额的 30% 扣除履约保证金</w:t>
      </w:r>
      <w:r>
        <w:rPr>
          <w:rFonts w:ascii="宋体" w:hAnsi="宋体" w:eastAsia="宋体" w:cs="宋体"/>
          <w:color w:val="auto"/>
          <w:sz w:val="24"/>
          <w:szCs w:val="24"/>
        </w:rPr>
        <w:t>；累计多次违约或出现重大食品安全问题的，采购人有权单方解除合同，并追究供应商全部违约责任。</w:t>
      </w:r>
      <w:r>
        <w:rPr>
          <w:rFonts w:hint="eastAsia" w:ascii="宋体" w:hAnsi="宋体"/>
          <w:color w:val="auto"/>
          <w:sz w:val="24"/>
          <w:szCs w:val="24"/>
        </w:rPr>
        <w:t>常见</w:t>
      </w:r>
      <w:r>
        <w:rPr>
          <w:rFonts w:hint="eastAsia" w:ascii="宋体" w:hAnsi="宋体"/>
          <w:sz w:val="24"/>
          <w:szCs w:val="24"/>
        </w:rPr>
        <w:t>质量问题（但不限于以下所列质量问题）：</w:t>
      </w:r>
    </w:p>
    <w:p w14:paraId="100C229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1）腐败变质油脂酸败、霉变生虫、污秽不洁等对人体健康有害的；</w:t>
      </w:r>
    </w:p>
    <w:p w14:paraId="100C229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2）有毒有害物品、寄生虫、微生物或微生物含量超过国家规定标准的，未经动物部门检疫或检疫不合格的；</w:t>
      </w:r>
    </w:p>
    <w:p w14:paraId="100C229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3）有农药等有害人体的残留物，农药残留检测不合格的；</w:t>
      </w:r>
    </w:p>
    <w:p w14:paraId="100C229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4）掺假、掺杂、造假；用非食品原料加工或加入非食品用化学物质的；</w:t>
      </w:r>
    </w:p>
    <w:p w14:paraId="100C229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5）超过保质期的；</w:t>
      </w:r>
    </w:p>
    <w:p w14:paraId="100C229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6）使用国家禁止材料的，使用国家禁止材料的；</w:t>
      </w:r>
    </w:p>
    <w:p w14:paraId="100C22A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7）其它原因造成不符合国家安全等规定的。</w:t>
      </w:r>
    </w:p>
    <w:p w14:paraId="100C22A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8）短斤缺两、以次充好等。</w:t>
      </w:r>
    </w:p>
    <w:p w14:paraId="100C22A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9</w:t>
      </w:r>
      <w:r>
        <w:rPr>
          <w:rFonts w:ascii="宋体" w:hAnsi="宋体"/>
          <w:sz w:val="24"/>
          <w:szCs w:val="24"/>
        </w:rPr>
        <w:t>.学校食堂承包人所需的食材，成交供应商在相应期间必须按照承诺价格折扣供货，价格按供应价格核算，计算公式同后（报价及结算中相关内容）。如成交供应商不能按采购方需求供货，则立即终止合同，全额没收其履约保证金；因本标段独家供货，乙方断供造成食堂停餐、师生就餐损失全部由乙方承担，采购人保留追责权利。</w:t>
      </w:r>
    </w:p>
    <w:p w14:paraId="100C22A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10</w:t>
      </w:r>
      <w:r>
        <w:rPr>
          <w:rFonts w:ascii="宋体" w:hAnsi="宋体"/>
          <w:sz w:val="24"/>
          <w:szCs w:val="24"/>
        </w:rPr>
        <w:t>.成交供应商所聘服务人员与学校不存在雇佣等劳动关系；成交供应商应培训好服务从业人员，服务人员应具有良好的从业道德。供应商所用服务人员的岗位职责、操作规范、人身安全、医疗、工资、各项保险、内部管理、各类纠纷等各项事宜及所涉及经费均由成交供应商自行负责，学校概不负责。</w:t>
      </w:r>
    </w:p>
    <w:p w14:paraId="100C22A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11</w:t>
      </w:r>
      <w:r>
        <w:rPr>
          <w:rFonts w:ascii="宋体" w:hAnsi="宋体"/>
          <w:sz w:val="24"/>
          <w:szCs w:val="24"/>
        </w:rPr>
        <w:t>.成交供应商如果发生服务人员在配送过程中发生交通伤害事故、失窃事件或其他财产损失和人身伤害，学校不承担任何经济和法律责任。</w:t>
      </w:r>
    </w:p>
    <w:p w14:paraId="100C22A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12.</w:t>
      </w:r>
      <w:r>
        <w:rPr>
          <w:rFonts w:ascii="宋体" w:hAnsi="宋体"/>
          <w:sz w:val="24"/>
          <w:szCs w:val="24"/>
        </w:rPr>
        <w:t>成交供应商需严格执行《食品安全法》《动物检验法》等相关法律。</w:t>
      </w:r>
    </w:p>
    <w:p w14:paraId="1A91FEE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cs="宋体"/>
          <w:b/>
          <w:bCs/>
          <w:sz w:val="36"/>
          <w:szCs w:val="36"/>
        </w:rPr>
        <w:sectPr>
          <w:pgSz w:w="11906" w:h="16838"/>
          <w:pgMar w:top="1440" w:right="1803" w:bottom="1440" w:left="1803" w:header="851" w:footer="992" w:gutter="0"/>
          <w:cols w:space="0" w:num="1"/>
          <w:docGrid w:type="lines" w:linePitch="319" w:charSpace="0"/>
        </w:sectPr>
      </w:pPr>
    </w:p>
    <w:p w14:paraId="100C2356">
      <w:pPr>
        <w:spacing w:line="460" w:lineRule="exact"/>
        <w:jc w:val="center"/>
        <w:rPr>
          <w:rFonts w:ascii="宋体" w:hAnsi="宋体" w:cs="宋体"/>
          <w:sz w:val="32"/>
          <w:szCs w:val="32"/>
        </w:rPr>
      </w:pPr>
      <w:r>
        <w:rPr>
          <w:rFonts w:hint="eastAsia" w:ascii="宋体" w:hAnsi="宋体" w:cs="宋体"/>
          <w:b/>
          <w:bCs/>
          <w:sz w:val="32"/>
          <w:szCs w:val="32"/>
        </w:rPr>
        <w:t>第四章  评审方法和程序</w:t>
      </w:r>
    </w:p>
    <w:p w14:paraId="100C2357">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kern w:val="0"/>
          <w:sz w:val="24"/>
          <w:szCs w:val="24"/>
        </w:rPr>
      </w:pPr>
      <w:r>
        <w:rPr>
          <w:rFonts w:hint="eastAsia" w:ascii="宋体" w:hAnsi="宋体" w:cs="宋体"/>
          <w:b/>
          <w:bCs/>
          <w:sz w:val="24"/>
          <w:szCs w:val="24"/>
        </w:rPr>
        <w:t>一、</w:t>
      </w:r>
      <w:r>
        <w:rPr>
          <w:rFonts w:hint="eastAsia" w:ascii="宋体" w:hAnsi="宋体" w:cs="宋体"/>
          <w:b/>
          <w:kern w:val="0"/>
          <w:sz w:val="24"/>
          <w:szCs w:val="24"/>
          <w:lang w:eastAsia="zh-CN"/>
        </w:rPr>
        <w:t>招标人</w:t>
      </w:r>
      <w:r>
        <w:rPr>
          <w:rFonts w:hint="eastAsia" w:ascii="宋体" w:hAnsi="宋体" w:cs="宋体"/>
          <w:b/>
          <w:kern w:val="0"/>
          <w:sz w:val="24"/>
          <w:szCs w:val="24"/>
        </w:rPr>
        <w:t>委托采购代理机构组织招标</w:t>
      </w:r>
    </w:p>
    <w:p w14:paraId="100C2358">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1.成立评标委员会，由</w:t>
      </w:r>
      <w:r>
        <w:rPr>
          <w:rFonts w:hint="eastAsia" w:ascii="宋体" w:hAnsi="宋体" w:cs="宋体"/>
          <w:sz w:val="24"/>
          <w:szCs w:val="24"/>
          <w:lang w:eastAsia="zh-CN"/>
        </w:rPr>
        <w:t>招标人</w:t>
      </w:r>
      <w:r>
        <w:rPr>
          <w:rFonts w:hint="eastAsia" w:ascii="宋体" w:hAnsi="宋体" w:cs="宋体"/>
          <w:sz w:val="24"/>
          <w:szCs w:val="24"/>
        </w:rPr>
        <w:t>代表和有关专家依法组成。</w:t>
      </w:r>
    </w:p>
    <w:p w14:paraId="100C2359">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2.投标人的法定代表人或被授权人须持身份证准时参加投标会。</w:t>
      </w:r>
    </w:p>
    <w:p w14:paraId="100C235A">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二、开标</w:t>
      </w:r>
    </w:p>
    <w:p w14:paraId="100C235B">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w:t>
      </w:r>
      <w:r>
        <w:rPr>
          <w:rFonts w:hint="eastAsia" w:ascii="宋体" w:hAnsi="宋体" w:cs="宋体"/>
          <w:b/>
          <w:bCs/>
          <w:sz w:val="24"/>
          <w:szCs w:val="24"/>
        </w:rPr>
        <w:t>采购代理机构</w:t>
      </w:r>
      <w:r>
        <w:rPr>
          <w:rFonts w:hint="eastAsia" w:ascii="宋体" w:hAnsi="宋体" w:cs="宋体"/>
          <w:sz w:val="24"/>
          <w:szCs w:val="24"/>
        </w:rPr>
        <w:t>主持开标并记录，及时处理投标人代表提出的询问或者回避申请。</w:t>
      </w:r>
    </w:p>
    <w:p w14:paraId="100C235C">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2.投标人不足3家的不得开标，相应处理方式见本招标文件第四章第十一条的规定。</w:t>
      </w:r>
    </w:p>
    <w:p w14:paraId="100C235D">
      <w:pPr>
        <w:pStyle w:val="21"/>
        <w:keepNext w:val="0"/>
        <w:keepLines w:val="0"/>
        <w:pageBreakBefore w:val="0"/>
        <w:kinsoku/>
        <w:wordWrap/>
        <w:overflowPunct/>
        <w:topLinePunct w:val="0"/>
        <w:autoSpaceDE/>
        <w:autoSpaceDN/>
        <w:bidi w:val="0"/>
        <w:spacing w:before="0" w:after="0" w:line="420" w:lineRule="exact"/>
        <w:ind w:firstLine="482" w:firstLineChars="200"/>
        <w:textAlignment w:val="auto"/>
        <w:rPr>
          <w:rFonts w:hAnsi="宋体" w:cs="宋体"/>
          <w:sz w:val="24"/>
          <w:szCs w:val="24"/>
        </w:rPr>
      </w:pPr>
      <w:r>
        <w:rPr>
          <w:rFonts w:hint="eastAsia" w:hAnsi="宋体" w:cs="宋体"/>
          <w:b/>
          <w:bCs/>
          <w:sz w:val="24"/>
          <w:szCs w:val="24"/>
        </w:rPr>
        <w:t>3.</w:t>
      </w:r>
      <w:r>
        <w:rPr>
          <w:rFonts w:hint="eastAsia" w:hAnsi="宋体" w:cs="宋体"/>
          <w:sz w:val="24"/>
          <w:szCs w:val="24"/>
        </w:rPr>
        <w:t>本项目</w:t>
      </w:r>
      <w:r>
        <w:rPr>
          <w:rFonts w:hint="eastAsia" w:ascii="宋体" w:hAnsi="宋体" w:cs="宋体"/>
          <w:b/>
          <w:bCs/>
          <w:sz w:val="24"/>
          <w:szCs w:val="24"/>
          <w:lang w:val="en-US" w:eastAsia="zh-CN"/>
        </w:rPr>
        <w:t>可以兼投兼中。</w:t>
      </w:r>
    </w:p>
    <w:p w14:paraId="100C235E">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三、资格审查</w:t>
      </w:r>
    </w:p>
    <w:p w14:paraId="100C235F">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1.开标后，</w:t>
      </w:r>
      <w:r>
        <w:rPr>
          <w:rFonts w:hint="eastAsia" w:ascii="宋体" w:hAnsi="宋体" w:cs="宋体"/>
          <w:sz w:val="24"/>
          <w:szCs w:val="24"/>
          <w:lang w:eastAsia="zh-CN"/>
        </w:rPr>
        <w:t>招标人</w:t>
      </w:r>
      <w:r>
        <w:rPr>
          <w:rFonts w:hint="eastAsia" w:ascii="宋体" w:hAnsi="宋体" w:cs="宋体"/>
          <w:sz w:val="24"/>
          <w:szCs w:val="24"/>
        </w:rPr>
        <w:t>及其委托的采购代理机构根据招标文件载明的资格审查要求，对投标人的资格进行审查。</w:t>
      </w:r>
    </w:p>
    <w:p w14:paraId="100C2360">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2.资格审查合格的投标人进入价格标评标。</w:t>
      </w:r>
    </w:p>
    <w:p w14:paraId="100C2361">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3.合格投标人不足3家的，不得评标，相应处理方式见本招标文件第四章第十一条的规定。</w:t>
      </w:r>
    </w:p>
    <w:p w14:paraId="100C2362">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四、评标</w:t>
      </w:r>
    </w:p>
    <w:p w14:paraId="100C2363">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b/>
          <w:bCs/>
          <w:sz w:val="24"/>
          <w:szCs w:val="24"/>
        </w:rPr>
      </w:pPr>
      <w:r>
        <w:rPr>
          <w:rFonts w:hint="eastAsia" w:ascii="宋体" w:hAnsi="宋体" w:cs="宋体"/>
          <w:sz w:val="24"/>
          <w:szCs w:val="24"/>
        </w:rPr>
        <w:t>1.评标时间：资格审查结束以后。</w:t>
      </w:r>
    </w:p>
    <w:p w14:paraId="100C2364">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2.采购代理机构负责组织评标工作，并履行下列职责：</w:t>
      </w:r>
    </w:p>
    <w:p w14:paraId="100C2365">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（1）核对评审专家身份，对评审专家在政府招标活动中的职责履行情况予以记录，并及时将有关违法违规行为向有关部门报告。</w:t>
      </w:r>
    </w:p>
    <w:p w14:paraId="100C2366">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（2）宣布评标纪律。</w:t>
      </w:r>
    </w:p>
    <w:p w14:paraId="100C2367">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（3）公布投标人名单，告知评审专家应当回避的情形。</w:t>
      </w:r>
    </w:p>
    <w:p w14:paraId="100C2368">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（4）组织评标委员会推选评标组长，</w:t>
      </w:r>
      <w:r>
        <w:rPr>
          <w:rFonts w:hint="eastAsia" w:ascii="宋体" w:hAnsi="宋体" w:cs="宋体"/>
          <w:sz w:val="24"/>
          <w:szCs w:val="24"/>
          <w:lang w:eastAsia="zh-CN"/>
        </w:rPr>
        <w:t>招标人</w:t>
      </w:r>
      <w:r>
        <w:rPr>
          <w:rFonts w:hint="eastAsia" w:ascii="宋体" w:hAnsi="宋体" w:cs="宋体"/>
          <w:sz w:val="24"/>
          <w:szCs w:val="24"/>
        </w:rPr>
        <w:t>代表不得担任组长。</w:t>
      </w:r>
    </w:p>
    <w:p w14:paraId="100C2369">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（5）在评标期间采取必要的通讯管理措施，保证评标活动不受外界干扰；除</w:t>
      </w:r>
      <w:r>
        <w:rPr>
          <w:rFonts w:hint="eastAsia" w:ascii="宋体" w:hAnsi="宋体" w:cs="宋体"/>
          <w:sz w:val="24"/>
          <w:szCs w:val="24"/>
          <w:lang w:eastAsia="zh-CN"/>
        </w:rPr>
        <w:t>招标人</w:t>
      </w:r>
      <w:r>
        <w:rPr>
          <w:rFonts w:hint="eastAsia" w:ascii="宋体" w:hAnsi="宋体" w:cs="宋体"/>
          <w:sz w:val="24"/>
          <w:szCs w:val="24"/>
        </w:rPr>
        <w:t>代表、评标现场组织人员外，</w:t>
      </w:r>
      <w:r>
        <w:rPr>
          <w:rFonts w:hint="eastAsia" w:ascii="宋体" w:hAnsi="宋体" w:cs="宋体"/>
          <w:sz w:val="24"/>
          <w:szCs w:val="24"/>
          <w:lang w:eastAsia="zh-CN"/>
        </w:rPr>
        <w:t>招标人</w:t>
      </w:r>
      <w:r>
        <w:rPr>
          <w:rFonts w:hint="eastAsia" w:ascii="宋体" w:hAnsi="宋体" w:cs="宋体"/>
          <w:sz w:val="24"/>
          <w:szCs w:val="24"/>
        </w:rPr>
        <w:t>的其他工作人员以及与评标工作无关的人员不得进入评标现场。</w:t>
      </w:r>
    </w:p>
    <w:p w14:paraId="100C236A">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（6）根据评标委员会的要求介绍相关政策法规、招标文件。</w:t>
      </w:r>
    </w:p>
    <w:p w14:paraId="100C236B">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（7）维护评标秩序，监督评标委员会依照招标文件规定的评标程序、方法和标准进行独立评审，及时制止和纠正</w:t>
      </w:r>
      <w:r>
        <w:rPr>
          <w:rFonts w:hint="eastAsia" w:ascii="宋体" w:hAnsi="宋体" w:cs="宋体"/>
          <w:sz w:val="24"/>
          <w:szCs w:val="24"/>
          <w:lang w:eastAsia="zh-CN"/>
        </w:rPr>
        <w:t>招标人</w:t>
      </w:r>
      <w:r>
        <w:rPr>
          <w:rFonts w:hint="eastAsia" w:ascii="宋体" w:hAnsi="宋体" w:cs="宋体"/>
          <w:sz w:val="24"/>
          <w:szCs w:val="24"/>
        </w:rPr>
        <w:t>代表、评审专家的倾向性言论或者违法违规行为；</w:t>
      </w:r>
      <w:r>
        <w:rPr>
          <w:rFonts w:hint="eastAsia" w:ascii="宋体" w:hAnsi="宋体" w:cs="宋体"/>
          <w:sz w:val="24"/>
          <w:szCs w:val="24"/>
          <w:lang w:eastAsia="zh-CN"/>
        </w:rPr>
        <w:t>招标人</w:t>
      </w:r>
      <w:r>
        <w:rPr>
          <w:rFonts w:hint="eastAsia" w:ascii="宋体" w:hAnsi="宋体" w:cs="宋体"/>
          <w:sz w:val="24"/>
          <w:szCs w:val="24"/>
        </w:rPr>
        <w:t>可以在评标前说明项目背景和招标需求，说明内容不得含有歧视性、倾向性意见，不得超出招标文件所述范围。说明应当提交书面材料，并随招标文件一并存档。</w:t>
      </w:r>
    </w:p>
    <w:p w14:paraId="100C236C">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（8）核对评标结果，有下列规定情形的，要求评标委员会复核或者书面说明理由，评标委员会拒绝的，则予以书面记录并向学校招标管理部门报告：</w:t>
      </w:r>
    </w:p>
    <w:p w14:paraId="100C236D">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① 分值汇总计算错误的；</w:t>
      </w:r>
    </w:p>
    <w:p w14:paraId="100C236E">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② 经评标委员会认定评分畸高、畸低的。</w:t>
      </w:r>
    </w:p>
    <w:p w14:paraId="100C236F">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（9）处理与评标有关的其他事项。</w:t>
      </w:r>
    </w:p>
    <w:p w14:paraId="100C2370">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.评标委员会负责具体评标事务：</w:t>
      </w:r>
    </w:p>
    <w:p w14:paraId="100C2371">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独立履行审查、评价合格投标人的投标文件是否符合招标文件的商务、技术等实质性要求并进行比较和评价；按照招标文件中规定的评标方法和标准，对符合性审查合格的投标文件进行价格评审，依据招标文件载明的评标方法推荐确定中标候选人名单。</w:t>
      </w:r>
    </w:p>
    <w:p w14:paraId="100C2372">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对于投标文件中含义不明确、同类问题表述不一致或者有明显文字和计算错误的内容，评标委员会应当以书面形式要求投标人作出必要的澄清、说明或者补正。投标人的澄清、说明或者补正，应当采用书面形式由投标人代表签字，但不得超出招标文件的范围或者改变其实质性内容。</w:t>
      </w:r>
    </w:p>
    <w:p w14:paraId="100C2373">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（3）评标委员会发现招标文件存在歧义、重大缺陷导致评标工作无法进行，或者招标文件内容违反国家有关强制性规定的，应当停止评标工作，与</w:t>
      </w:r>
      <w:r>
        <w:rPr>
          <w:rFonts w:hint="eastAsia" w:ascii="宋体" w:hAnsi="宋体" w:cs="宋体"/>
          <w:sz w:val="24"/>
          <w:szCs w:val="24"/>
          <w:lang w:eastAsia="zh-CN"/>
        </w:rPr>
        <w:t>招标人</w:t>
      </w:r>
      <w:r>
        <w:rPr>
          <w:rFonts w:hint="eastAsia" w:ascii="宋体" w:hAnsi="宋体" w:cs="宋体"/>
          <w:sz w:val="24"/>
          <w:szCs w:val="24"/>
        </w:rPr>
        <w:t>或者采购代理机构沟通并作书面记录。</w:t>
      </w:r>
      <w:r>
        <w:rPr>
          <w:rFonts w:hint="eastAsia" w:ascii="宋体" w:hAnsi="宋体" w:cs="宋体"/>
          <w:sz w:val="24"/>
          <w:szCs w:val="24"/>
          <w:lang w:eastAsia="zh-CN"/>
        </w:rPr>
        <w:t>招标人</w:t>
      </w:r>
      <w:r>
        <w:rPr>
          <w:rFonts w:hint="eastAsia" w:ascii="宋体" w:hAnsi="宋体" w:cs="宋体"/>
          <w:sz w:val="24"/>
          <w:szCs w:val="24"/>
        </w:rPr>
        <w:t>或者采购代理机构确认后，应当修改招标文件，重新组织招标活动。</w:t>
      </w:r>
    </w:p>
    <w:p w14:paraId="100C2374">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.评标委员会成员独立履行以下职责与义务：</w:t>
      </w:r>
    </w:p>
    <w:p w14:paraId="100C2375">
      <w:pPr>
        <w:keepNext w:val="0"/>
        <w:keepLines w:val="0"/>
        <w:pageBreakBefore w:val="0"/>
        <w:kinsoku/>
        <w:wordWrap/>
        <w:overflowPunct/>
        <w:topLinePunct w:val="0"/>
        <w:autoSpaceDE/>
        <w:autoSpaceDN/>
        <w:bidi w:val="0"/>
        <w:adjustRightInd w:val="0"/>
        <w:snapToGrid w:val="0"/>
        <w:spacing w:line="420" w:lineRule="exact"/>
        <w:ind w:firstLine="480" w:firstLineChars="200"/>
        <w:contextualSpacing/>
        <w:textAlignment w:val="auto"/>
        <w:rPr>
          <w:rFonts w:ascii="宋体" w:hAnsi="宋体" w:cs="宋体"/>
          <w:sz w:val="24"/>
          <w:szCs w:val="24"/>
        </w:rPr>
      </w:pPr>
      <w:r>
        <w:rPr>
          <w:rFonts w:hint="eastAsia" w:ascii="宋体" w:hAnsi="宋体" w:cs="宋体"/>
          <w:sz w:val="24"/>
          <w:szCs w:val="24"/>
        </w:rPr>
        <w:t>（1）遵纪守法，客观、公正、廉洁地履行职责；</w:t>
      </w:r>
    </w:p>
    <w:p w14:paraId="100C2376">
      <w:pPr>
        <w:keepNext w:val="0"/>
        <w:keepLines w:val="0"/>
        <w:pageBreakBefore w:val="0"/>
        <w:kinsoku/>
        <w:wordWrap/>
        <w:overflowPunct/>
        <w:topLinePunct w:val="0"/>
        <w:autoSpaceDE/>
        <w:autoSpaceDN/>
        <w:bidi w:val="0"/>
        <w:adjustRightInd w:val="0"/>
        <w:snapToGrid w:val="0"/>
        <w:spacing w:line="420" w:lineRule="exact"/>
        <w:ind w:firstLine="480" w:firstLineChars="200"/>
        <w:contextualSpacing/>
        <w:textAlignment w:val="auto"/>
        <w:rPr>
          <w:rFonts w:ascii="宋体" w:hAnsi="宋体" w:cs="宋体"/>
          <w:sz w:val="24"/>
          <w:szCs w:val="24"/>
        </w:rPr>
      </w:pPr>
      <w:r>
        <w:rPr>
          <w:rFonts w:hint="eastAsia" w:ascii="宋体" w:hAnsi="宋体" w:cs="宋体"/>
          <w:sz w:val="24"/>
          <w:szCs w:val="24"/>
        </w:rPr>
        <w:t>（2）审查合格投标人的投标文件是否实质性响应招标文件要求，并作出评价；</w:t>
      </w:r>
    </w:p>
    <w:p w14:paraId="100C2377">
      <w:pPr>
        <w:keepNext w:val="0"/>
        <w:keepLines w:val="0"/>
        <w:pageBreakBefore w:val="0"/>
        <w:kinsoku/>
        <w:wordWrap/>
        <w:overflowPunct/>
        <w:topLinePunct w:val="0"/>
        <w:autoSpaceDE/>
        <w:autoSpaceDN/>
        <w:bidi w:val="0"/>
        <w:adjustRightInd w:val="0"/>
        <w:snapToGrid w:val="0"/>
        <w:spacing w:line="420" w:lineRule="exact"/>
        <w:ind w:firstLine="480" w:firstLineChars="200"/>
        <w:contextualSpacing/>
        <w:textAlignment w:val="auto"/>
        <w:rPr>
          <w:rFonts w:ascii="宋体" w:hAnsi="宋体" w:cs="宋体"/>
          <w:sz w:val="24"/>
          <w:szCs w:val="24"/>
        </w:rPr>
      </w:pPr>
      <w:r>
        <w:rPr>
          <w:rFonts w:hint="eastAsia" w:ascii="宋体" w:hAnsi="宋体" w:cs="宋体"/>
          <w:sz w:val="24"/>
          <w:szCs w:val="24"/>
        </w:rPr>
        <w:t>（3）按照招标文件规定的评标办法和评标标准进行评标，对评审意见承担个人责任；</w:t>
      </w:r>
    </w:p>
    <w:p w14:paraId="100C2378">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（4）可以要求投标人对投标文件有关事项作出解释或澄清；</w:t>
      </w:r>
    </w:p>
    <w:p w14:paraId="100C2379">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（5）对评标过程和结果，以及投标人的商业秘密保密；</w:t>
      </w:r>
    </w:p>
    <w:p w14:paraId="100C237A">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（6）配合相关部门的投诉处理工作；</w:t>
      </w:r>
    </w:p>
    <w:p w14:paraId="100C237B">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（7）配合</w:t>
      </w:r>
      <w:r>
        <w:rPr>
          <w:rFonts w:hint="eastAsia" w:ascii="宋体" w:hAnsi="宋体" w:cs="宋体"/>
          <w:sz w:val="24"/>
          <w:szCs w:val="24"/>
          <w:lang w:eastAsia="zh-CN"/>
        </w:rPr>
        <w:t>招标人</w:t>
      </w:r>
      <w:r>
        <w:rPr>
          <w:rFonts w:hint="eastAsia" w:ascii="宋体" w:hAnsi="宋体" w:cs="宋体"/>
          <w:sz w:val="24"/>
          <w:szCs w:val="24"/>
        </w:rPr>
        <w:t>或采购代理机构答复投标人提出的质疑。</w:t>
      </w:r>
    </w:p>
    <w:p w14:paraId="100C237C">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.除</w:t>
      </w:r>
      <w:r>
        <w:rPr>
          <w:rFonts w:hint="eastAsia" w:ascii="宋体" w:hAnsi="宋体" w:cs="宋体"/>
          <w:sz w:val="24"/>
          <w:szCs w:val="24"/>
          <w:lang w:eastAsia="zh-CN"/>
        </w:rPr>
        <w:t>招标人</w:t>
      </w:r>
      <w:r>
        <w:rPr>
          <w:rFonts w:hint="eastAsia" w:ascii="宋体" w:hAnsi="宋体" w:cs="宋体"/>
          <w:sz w:val="24"/>
          <w:szCs w:val="24"/>
        </w:rPr>
        <w:t>代表、评标现场组织人员外，</w:t>
      </w:r>
      <w:r>
        <w:rPr>
          <w:rFonts w:hint="eastAsia" w:ascii="宋体" w:hAnsi="宋体" w:cs="宋体"/>
          <w:sz w:val="24"/>
          <w:szCs w:val="24"/>
          <w:lang w:eastAsia="zh-CN"/>
        </w:rPr>
        <w:t>招标人</w:t>
      </w:r>
      <w:r>
        <w:rPr>
          <w:rFonts w:hint="eastAsia" w:ascii="宋体" w:hAnsi="宋体" w:cs="宋体"/>
          <w:sz w:val="24"/>
          <w:szCs w:val="24"/>
        </w:rPr>
        <w:t>的其他工作人员以及与评标工作无关的人员不得进入评标现场；有关人员对评标情况以及在评标过程中获悉的国家秘密、商业秘密负有保密责任。</w:t>
      </w:r>
    </w:p>
    <w:p w14:paraId="100C237D">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.开标后直到公告项目中标结果发出中标通知书并授予中标人合同为止，凡属于评审、澄清、评价和比较投标的所有资料及有关授予合同等的相关信息，都不应向投标人或与评标无关的其他人泄露。</w:t>
      </w:r>
    </w:p>
    <w:p w14:paraId="100C237E">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.评审期间，合格投标人的投标文件仍有可能被评标委员会根据规定判为无效投标。</w:t>
      </w:r>
    </w:p>
    <w:p w14:paraId="100C237F">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.在投标文件的评审、澄清、评价和比较以及授予合同的过程中，投标人对</w:t>
      </w:r>
      <w:r>
        <w:rPr>
          <w:rFonts w:hint="eastAsia" w:ascii="宋体" w:hAnsi="宋体" w:cs="宋体"/>
          <w:sz w:val="24"/>
          <w:szCs w:val="24"/>
          <w:lang w:eastAsia="zh-CN"/>
        </w:rPr>
        <w:t>招标人</w:t>
      </w:r>
      <w:r>
        <w:rPr>
          <w:rFonts w:hint="eastAsia" w:ascii="宋体" w:hAnsi="宋体" w:cs="宋体"/>
          <w:sz w:val="24"/>
          <w:szCs w:val="24"/>
        </w:rPr>
        <w:t>和评标委员会成员有施加影响的任何行为，都将取消其可能的中标资格。</w:t>
      </w:r>
    </w:p>
    <w:p w14:paraId="100C2380">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outlineLvl w:val="1"/>
        <w:rPr>
          <w:rFonts w:ascii="宋体" w:hAnsi="宋体" w:cs="宋体"/>
          <w:b/>
          <w:bCs/>
          <w:sz w:val="24"/>
          <w:szCs w:val="24"/>
        </w:rPr>
      </w:pPr>
      <w:r>
        <w:rPr>
          <w:rFonts w:hint="eastAsia" w:ascii="宋体" w:hAnsi="宋体" w:cs="宋体"/>
          <w:b/>
          <w:bCs/>
          <w:sz w:val="24"/>
          <w:szCs w:val="24"/>
        </w:rPr>
        <w:t>五、评审原则</w:t>
      </w:r>
    </w:p>
    <w:p w14:paraId="100C2381">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1.本项目采用</w:t>
      </w:r>
      <w:r>
        <w:rPr>
          <w:rFonts w:hint="eastAsia" w:ascii="宋体" w:hAnsi="宋体" w:cs="宋体"/>
          <w:sz w:val="24"/>
          <w:szCs w:val="24"/>
          <w:u w:val="single"/>
        </w:rPr>
        <w:t xml:space="preserve">  </w:t>
      </w:r>
      <w:r>
        <w:rPr>
          <w:rFonts w:hint="eastAsia" w:ascii="宋体" w:hAnsi="宋体" w:cs="宋体"/>
          <w:b/>
          <w:bCs/>
          <w:sz w:val="24"/>
          <w:szCs w:val="24"/>
          <w:u w:val="single"/>
        </w:rPr>
        <w:t>最低评标价法</w:t>
      </w:r>
      <w:r>
        <w:rPr>
          <w:rFonts w:hint="eastAsia" w:ascii="宋体" w:hAnsi="宋体" w:cs="宋体"/>
          <w:sz w:val="24"/>
          <w:szCs w:val="24"/>
          <w:u w:val="single"/>
        </w:rPr>
        <w:t xml:space="preserve">  </w:t>
      </w:r>
      <w:r>
        <w:rPr>
          <w:rFonts w:hint="eastAsia" w:ascii="宋体" w:hAnsi="宋体" w:cs="宋体"/>
          <w:sz w:val="24"/>
          <w:szCs w:val="24"/>
        </w:rPr>
        <w:t>，即指投标文件满足本项目招标文件全部实质性要求，各标段投标报价最低的投标人推荐为中标人的评标方法。</w:t>
      </w:r>
    </w:p>
    <w:p w14:paraId="100C2382">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2.评标委员会成员：对符合资格的投标人的投标文件进行符合性审查，以确定其是否满足招标文件的实质性要求；按照招标文件中规定的评标方法和标准，对符合性审查合格的投标文件进行价格评审。</w:t>
      </w:r>
    </w:p>
    <w:p w14:paraId="100C2383">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3.对投标文件的评审判定，只依据投标文件内容本身，不依靠开标后任何外来证明文件。</w:t>
      </w:r>
    </w:p>
    <w:p w14:paraId="100C2384">
      <w:pPr>
        <w:keepNext w:val="0"/>
        <w:keepLines w:val="0"/>
        <w:pageBreakBefore w:val="0"/>
        <w:kinsoku/>
        <w:wordWrap/>
        <w:overflowPunct/>
        <w:topLinePunct w:val="0"/>
        <w:autoSpaceDE/>
        <w:autoSpaceDN/>
        <w:bidi w:val="0"/>
        <w:snapToGrid w:val="0"/>
        <w:spacing w:line="420" w:lineRule="exact"/>
        <w:ind w:firstLine="487" w:firstLineChars="202"/>
        <w:textAlignment w:val="auto"/>
        <w:outlineLvl w:val="1"/>
        <w:rPr>
          <w:rFonts w:ascii="宋体" w:hAnsi="宋体" w:cs="宋体"/>
          <w:b/>
          <w:bCs/>
          <w:sz w:val="24"/>
          <w:szCs w:val="24"/>
        </w:rPr>
      </w:pPr>
      <w:r>
        <w:rPr>
          <w:rFonts w:hint="eastAsia" w:ascii="宋体" w:hAnsi="宋体" w:cs="宋体"/>
          <w:b/>
          <w:bCs/>
          <w:sz w:val="24"/>
          <w:szCs w:val="24"/>
        </w:rPr>
        <w:t>六、评审方法</w:t>
      </w:r>
    </w:p>
    <w:p w14:paraId="100C2385">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1.评标程序：</w:t>
      </w:r>
    </w:p>
    <w:p w14:paraId="100C2386">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资格符合性评审——价格标评审—确定中标候选人。</w:t>
      </w:r>
    </w:p>
    <w:p w14:paraId="100C2387">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本次资格审查采用资格后审，各投标人资格审查通过后方能进入价格标评审。</w:t>
      </w:r>
    </w:p>
    <w:p w14:paraId="100C2388">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2.评标委员会将仅对按本招标文件载明的方法与规定，为实质上响应招标文件要求的投标文件评审并进行评价和比较。</w:t>
      </w:r>
    </w:p>
    <w:p w14:paraId="100C2389">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3.开启投标人的价格标，现场唱标后由投标人代表签名确认。</w:t>
      </w:r>
    </w:p>
    <w:p w14:paraId="100C238A">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4.评标结果按各标段投标文件满足招标文件全部实质性要求，且投标报价由低到高排序，投标报价相同的由评标委员会现场抽签确定排名。排名第一的确定为各标段第一中标候选人，以此类推。并出具评审报告并将结果通知所有投标人。</w:t>
      </w:r>
    </w:p>
    <w:p w14:paraId="100C238B">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当第一中标候选人放弃中标，或因</w:t>
      </w:r>
      <w:r>
        <w:rPr>
          <w:rFonts w:hint="eastAsia" w:ascii="宋体" w:hAnsi="宋体" w:cs="宋体"/>
          <w:sz w:val="24"/>
          <w:szCs w:val="24"/>
          <w:lang w:eastAsia="zh-CN"/>
        </w:rPr>
        <w:t>招标人</w:t>
      </w:r>
      <w:r>
        <w:rPr>
          <w:rFonts w:hint="eastAsia" w:ascii="宋体" w:hAnsi="宋体" w:cs="宋体"/>
          <w:sz w:val="24"/>
          <w:szCs w:val="24"/>
        </w:rPr>
        <w:t>与中标候选人因合作合同不能达成一致，或者招标文件规定的其他不能由第一中标候选人继续履约的，</w:t>
      </w:r>
      <w:r>
        <w:rPr>
          <w:rFonts w:hint="eastAsia" w:ascii="宋体" w:hAnsi="宋体" w:cs="宋体"/>
          <w:sz w:val="24"/>
          <w:szCs w:val="24"/>
          <w:lang w:eastAsia="zh-CN"/>
        </w:rPr>
        <w:t>招标人</w:t>
      </w:r>
      <w:r>
        <w:rPr>
          <w:rFonts w:hint="eastAsia" w:ascii="宋体" w:hAnsi="宋体" w:cs="宋体"/>
          <w:sz w:val="24"/>
          <w:szCs w:val="24"/>
        </w:rPr>
        <w:t>可以确定排名第二的中标候选人为中标人，也可以重新组织招标。</w:t>
      </w:r>
    </w:p>
    <w:p w14:paraId="100C238C">
      <w:pPr>
        <w:keepNext w:val="0"/>
        <w:keepLines w:val="0"/>
        <w:pageBreakBefore w:val="0"/>
        <w:kinsoku/>
        <w:wordWrap/>
        <w:overflowPunct/>
        <w:topLinePunct w:val="0"/>
        <w:autoSpaceDE/>
        <w:autoSpaceDN/>
        <w:bidi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七、关于投标价格评审</w:t>
      </w:r>
    </w:p>
    <w:p w14:paraId="100C238D">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1.针对投标价格实质响应的评审</w:t>
      </w:r>
    </w:p>
    <w:p w14:paraId="100C238E">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评标委员会将审查每份投标文件的商务报价是否实质上响应了招标文件的要求。实质上响应的投标应该是与招标文件要求的全部条款、条件和规格相符，没有重大偏离或保留。所谓重大偏离或保留是指实质上影响合作项目的实施，或者实质上与招标文件的要求不一致。纠正这些偏离或保留将会对其他实质上响应要求的投标人的竞争地位产生不公正的影响。如未实质上响应 ，则按无效投标处理。</w:t>
      </w:r>
    </w:p>
    <w:p w14:paraId="100C238F">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2.异常低价审查</w:t>
      </w:r>
    </w:p>
    <w:p w14:paraId="100C2390">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2.1采购评审中出现下列情形之一的，评审委员会应当启动异常低价投标(响应)审查程序：</w:t>
      </w:r>
    </w:p>
    <w:p w14:paraId="100C2391">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1.投标（响应）报价低于全部通过符合性审查供应商投标（响应）报价平均值50%的，即投标（响应）报价&lt;全部通过符合性审查供应商投标（响应）报价平均值×50%； </w:t>
      </w:r>
    </w:p>
    <w:p w14:paraId="100C2392">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2.投标（响应）报价低于通过符合性审查的次低报价供应商投标（响应）报价50%的，即投标（响应）报价&lt;通过符合性审查的次低报价供应商投标（响应）报价×50%； </w:t>
      </w:r>
    </w:p>
    <w:p w14:paraId="100C2393">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3.投标（响应）报价低于采购项目最高限价45%的，即投标（响应）报价&lt;采购项目最高限价×45%； </w:t>
      </w:r>
    </w:p>
    <w:p w14:paraId="100C2394">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4.评审委员会基于专业判断，认为供应商报价过低，有可能影响产品质量或者不能诚信履约的其他情形。 </w:t>
      </w:r>
    </w:p>
    <w:p w14:paraId="100C2395">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2.2启动异常低价投标(响应)审查后，属于上述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投标人已随投标（响应）文件一并提交相关书面说明及必要的证明材料的，在评审现场可不再重复提交。</w:t>
      </w:r>
    </w:p>
    <w:p w14:paraId="100C2396">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w:t>
      </w:r>
    </w:p>
    <w:p w14:paraId="100C2397">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2.评标争议</w:t>
      </w:r>
    </w:p>
    <w:p w14:paraId="100C2398">
      <w:pPr>
        <w:keepNext w:val="0"/>
        <w:keepLines w:val="0"/>
        <w:pageBreakBefore w:val="0"/>
        <w:kinsoku/>
        <w:wordWrap/>
        <w:overflowPunct/>
        <w:topLinePunct w:val="0"/>
        <w:autoSpaceDE/>
        <w:autoSpaceDN/>
        <w:bidi w:val="0"/>
        <w:snapToGrid w:val="0"/>
        <w:spacing w:line="420" w:lineRule="exact"/>
        <w:ind w:firstLine="480" w:firstLineChars="200"/>
        <w:textAlignment w:val="auto"/>
        <w:rPr>
          <w:rFonts w:ascii="宋体" w:hAnsi="宋体" w:cs="宋体"/>
          <w:sz w:val="24"/>
          <w:szCs w:val="24"/>
        </w:rPr>
      </w:pPr>
      <w:r>
        <w:rPr>
          <w:rFonts w:hint="eastAsia" w:ascii="宋体" w:hAnsi="宋体" w:cs="宋体"/>
          <w:sz w:val="24"/>
          <w:szCs w:val="24"/>
        </w:rPr>
        <w:t>评标时评委对评标的细则若有争议，由评标委员会评委集体讨论确定，并对未尽情况有最终解释权。</w:t>
      </w:r>
    </w:p>
    <w:p w14:paraId="100C2399">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3.落标原因</w:t>
      </w:r>
    </w:p>
    <w:p w14:paraId="100C239A">
      <w:pPr>
        <w:keepNext w:val="0"/>
        <w:keepLines w:val="0"/>
        <w:pageBreakBefore w:val="0"/>
        <w:kinsoku/>
        <w:wordWrap/>
        <w:overflowPunct/>
        <w:topLinePunct w:val="0"/>
        <w:autoSpaceDE/>
        <w:autoSpaceDN/>
        <w:bidi w:val="0"/>
        <w:adjustRightInd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评标委员会不对落标的投标人做落标原因的解释。</w:t>
      </w:r>
    </w:p>
    <w:p w14:paraId="100C239B">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九、出现下列情形之一的，作无效投标处理</w:t>
      </w:r>
    </w:p>
    <w:p w14:paraId="100C239C">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1.投标文件未按招标文件要求签署、盖章的；</w:t>
      </w:r>
    </w:p>
    <w:p w14:paraId="100C239D">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2.不具备招标文件中规定的资格要求的；</w:t>
      </w:r>
    </w:p>
    <w:p w14:paraId="100C239E">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3.同一投标人提交两个（含两个）以上不同的投标报价的；</w:t>
      </w:r>
    </w:p>
    <w:p w14:paraId="100C239F">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4.投标人不具备招标文件中规定的资格要求的；</w:t>
      </w:r>
    </w:p>
    <w:p w14:paraId="100C23A0">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5.投标人的报价超过了采购预算、最高限价；</w:t>
      </w:r>
    </w:p>
    <w:p w14:paraId="100C23A1">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6.未通过符合性检查的；</w:t>
      </w:r>
    </w:p>
    <w:p w14:paraId="100C23A2">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7.不符合招标文件中规定的其他实质性要求和条件的；</w:t>
      </w:r>
    </w:p>
    <w:p w14:paraId="100C23A3">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8.投标人被 “信用中国”网站（www.creditchina.gov.cn）列入失信被执行人或重大税收违法案件当事人名单或政府采购严重失信行为记录名单；</w:t>
      </w:r>
    </w:p>
    <w:p w14:paraId="100C23A4">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9.投标文件含有</w:t>
      </w:r>
      <w:r>
        <w:rPr>
          <w:rFonts w:hint="eastAsia" w:ascii="宋体" w:hAnsi="宋体" w:cs="宋体"/>
          <w:sz w:val="24"/>
          <w:szCs w:val="24"/>
          <w:lang w:eastAsia="zh-CN"/>
        </w:rPr>
        <w:t>招标人</w:t>
      </w:r>
      <w:r>
        <w:rPr>
          <w:rFonts w:hint="eastAsia" w:ascii="宋体" w:hAnsi="宋体" w:cs="宋体"/>
          <w:sz w:val="24"/>
          <w:szCs w:val="24"/>
        </w:rPr>
        <w:t>不能接受的附加条件的；</w:t>
      </w:r>
    </w:p>
    <w:p w14:paraId="100C23A5">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10.启动异常低价响应审查后，供应商不提供书面说明、证明材料，或者提供的书面说明、证明材料不能证明其报价合理性的。</w:t>
      </w:r>
    </w:p>
    <w:p w14:paraId="100C23A6">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11.其他法律法规及本招标文件规定的无效投标的情形。</w:t>
      </w:r>
    </w:p>
    <w:p w14:paraId="100C23A7">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sz w:val="24"/>
          <w:szCs w:val="24"/>
        </w:rPr>
      </w:pPr>
      <w:r>
        <w:rPr>
          <w:rFonts w:hint="eastAsia" w:ascii="宋体" w:hAnsi="宋体" w:cs="宋体"/>
          <w:b/>
          <w:bCs/>
          <w:sz w:val="24"/>
          <w:szCs w:val="24"/>
        </w:rPr>
        <w:t>十、有下列情形之一的，视为投标人串通投标，其投标无效</w:t>
      </w:r>
    </w:p>
    <w:p w14:paraId="100C23A8">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1.不同投标人的投标文件载明的项目管理成员或者联系人员为同一人；</w:t>
      </w:r>
    </w:p>
    <w:p w14:paraId="100C23A9">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2.不同投标人的投标文件相互混装。</w:t>
      </w:r>
    </w:p>
    <w:p w14:paraId="100C23AA">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sz w:val="24"/>
          <w:szCs w:val="24"/>
        </w:rPr>
      </w:pPr>
      <w:r>
        <w:rPr>
          <w:rFonts w:hint="eastAsia" w:ascii="宋体" w:hAnsi="宋体" w:cs="宋体"/>
          <w:b/>
          <w:bCs/>
          <w:sz w:val="24"/>
          <w:szCs w:val="24"/>
        </w:rPr>
        <w:t>十一、变更为其他方式招标的情形处理</w:t>
      </w:r>
    </w:p>
    <w:p w14:paraId="100C23AB">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投标截止后投标人不足3家或者通过资格审查或符合性审查的投标人不足3家的，除招标任务取消情形外，按照以下方式处理：</w:t>
      </w:r>
    </w:p>
    <w:p w14:paraId="100C23AC">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1.招标文件不存在不合理条款的，</w:t>
      </w:r>
      <w:r>
        <w:rPr>
          <w:rFonts w:hint="eastAsia" w:ascii="宋体" w:hAnsi="宋体" w:cs="宋体"/>
          <w:sz w:val="24"/>
          <w:szCs w:val="24"/>
          <w:lang w:eastAsia="zh-CN"/>
        </w:rPr>
        <w:t>招标人</w:t>
      </w:r>
      <w:r>
        <w:rPr>
          <w:rFonts w:hint="eastAsia" w:ascii="宋体" w:hAnsi="宋体" w:cs="宋体"/>
          <w:sz w:val="24"/>
          <w:szCs w:val="24"/>
        </w:rPr>
        <w:t>重新组织招标；</w:t>
      </w:r>
    </w:p>
    <w:p w14:paraId="100C23AD">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2.招标文件存在不合理条款或者招标程序不符合规定的，</w:t>
      </w:r>
      <w:r>
        <w:rPr>
          <w:rFonts w:hint="eastAsia" w:ascii="宋体" w:hAnsi="宋体" w:cs="宋体"/>
          <w:sz w:val="24"/>
          <w:szCs w:val="24"/>
          <w:lang w:eastAsia="zh-CN"/>
        </w:rPr>
        <w:t>招标人</w:t>
      </w:r>
      <w:r>
        <w:rPr>
          <w:rFonts w:hint="eastAsia" w:ascii="宋体" w:hAnsi="宋体" w:cs="宋体"/>
          <w:sz w:val="24"/>
          <w:szCs w:val="24"/>
        </w:rPr>
        <w:t>改正后依法重新招标；</w:t>
      </w:r>
    </w:p>
    <w:p w14:paraId="100C23AE">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3.招标文件没有不合理条款、招标程序符合规定，需要采用其他招标方式招标的，报</w:t>
      </w:r>
      <w:r>
        <w:rPr>
          <w:rFonts w:hint="eastAsia" w:ascii="宋体" w:hAnsi="宋体" w:cs="宋体"/>
          <w:sz w:val="24"/>
          <w:szCs w:val="24"/>
          <w:lang w:eastAsia="zh-CN"/>
        </w:rPr>
        <w:t>招标人</w:t>
      </w:r>
      <w:r>
        <w:rPr>
          <w:rFonts w:hint="eastAsia" w:ascii="宋体" w:hAnsi="宋体" w:cs="宋体"/>
          <w:sz w:val="24"/>
          <w:szCs w:val="24"/>
        </w:rPr>
        <w:t>招标领导小组批准后实施。</w:t>
      </w:r>
    </w:p>
    <w:p w14:paraId="100C23AF">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十二、出现下列情形之一的，作废标处理：</w:t>
      </w:r>
    </w:p>
    <w:p w14:paraId="100C23B0">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1.符合专业条件的供应商或者对招标文件做实质响应的供应商不足三家的。</w:t>
      </w:r>
    </w:p>
    <w:p w14:paraId="100C23B1">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2.出现影响采购公正的违法、违规行为的。</w:t>
      </w:r>
    </w:p>
    <w:p w14:paraId="100C23B2">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3.因重大变故，采购任务取消的。</w:t>
      </w:r>
    </w:p>
    <w:p w14:paraId="100C23B3">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4.评标委员会认定招标文件存在歧义、重大缺陷导致评审工作无法进行。</w:t>
      </w:r>
    </w:p>
    <w:p w14:paraId="100C23B4">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十三、中标通知</w:t>
      </w:r>
    </w:p>
    <w:p w14:paraId="100C23B5">
      <w:pPr>
        <w:keepNext w:val="0"/>
        <w:keepLines w:val="0"/>
        <w:pageBreakBefore w:val="0"/>
        <w:kinsoku/>
        <w:wordWrap/>
        <w:overflowPunct/>
        <w:topLinePunct w:val="0"/>
        <w:autoSpaceDE/>
        <w:autoSpaceDN/>
        <w:bidi w:val="0"/>
        <w:spacing w:line="420" w:lineRule="exact"/>
        <w:ind w:firstLine="484" w:firstLineChars="202"/>
        <w:textAlignment w:val="auto"/>
        <w:rPr>
          <w:rFonts w:ascii="宋体" w:hAnsi="宋体" w:cs="宋体"/>
          <w:kern w:val="0"/>
          <w:sz w:val="24"/>
          <w:szCs w:val="24"/>
        </w:rPr>
      </w:pPr>
      <w:r>
        <w:rPr>
          <w:rFonts w:hint="eastAsia" w:ascii="宋体" w:hAnsi="宋体" w:cs="宋体"/>
          <w:kern w:val="0"/>
          <w:sz w:val="24"/>
          <w:szCs w:val="24"/>
        </w:rPr>
        <w:t>1.投标结束后，</w:t>
      </w:r>
      <w:r>
        <w:rPr>
          <w:rFonts w:hint="eastAsia" w:ascii="宋体" w:hAnsi="宋体" w:cs="宋体"/>
          <w:kern w:val="0"/>
          <w:sz w:val="24"/>
          <w:szCs w:val="24"/>
          <w:lang w:eastAsia="zh-CN"/>
        </w:rPr>
        <w:t>招标人</w:t>
      </w:r>
      <w:r>
        <w:rPr>
          <w:rFonts w:hint="eastAsia" w:ascii="宋体" w:hAnsi="宋体" w:cs="宋体"/>
          <w:kern w:val="0"/>
          <w:sz w:val="24"/>
          <w:szCs w:val="24"/>
        </w:rPr>
        <w:t>将中标结果在</w:t>
      </w:r>
      <w:r>
        <w:rPr>
          <w:rFonts w:hint="eastAsia" w:ascii="宋体" w:hAnsi="宋体" w:cs="宋体"/>
          <w:kern w:val="0"/>
          <w:sz w:val="24"/>
          <w:szCs w:val="24"/>
          <w:lang w:eastAsia="zh-CN"/>
        </w:rPr>
        <w:t>招标人</w:t>
      </w:r>
      <w:r>
        <w:rPr>
          <w:rFonts w:hint="eastAsia" w:ascii="宋体" w:hAnsi="宋体" w:cs="宋体"/>
          <w:kern w:val="0"/>
          <w:sz w:val="24"/>
          <w:szCs w:val="24"/>
        </w:rPr>
        <w:t>官网上公示1个日历天。</w:t>
      </w:r>
    </w:p>
    <w:p w14:paraId="100C23B6">
      <w:pPr>
        <w:keepNext w:val="0"/>
        <w:keepLines w:val="0"/>
        <w:pageBreakBefore w:val="0"/>
        <w:kinsoku/>
        <w:wordWrap/>
        <w:overflowPunct/>
        <w:topLinePunct w:val="0"/>
        <w:autoSpaceDE/>
        <w:autoSpaceDN/>
        <w:bidi w:val="0"/>
        <w:spacing w:line="420" w:lineRule="exact"/>
        <w:ind w:firstLine="484" w:firstLineChars="202"/>
        <w:textAlignment w:val="auto"/>
        <w:rPr>
          <w:rFonts w:ascii="宋体" w:hAnsi="宋体" w:cs="宋体"/>
          <w:kern w:val="0"/>
          <w:sz w:val="24"/>
          <w:szCs w:val="24"/>
        </w:rPr>
      </w:pPr>
      <w:r>
        <w:rPr>
          <w:rFonts w:hint="eastAsia" w:ascii="宋体" w:hAnsi="宋体" w:cs="宋体"/>
          <w:kern w:val="0"/>
          <w:sz w:val="24"/>
          <w:szCs w:val="24"/>
        </w:rPr>
        <w:t>2.公示期满，如无异议的，</w:t>
      </w:r>
      <w:r>
        <w:rPr>
          <w:rFonts w:hint="eastAsia" w:ascii="宋体" w:hAnsi="宋体" w:cs="宋体"/>
          <w:kern w:val="0"/>
          <w:sz w:val="24"/>
          <w:szCs w:val="24"/>
          <w:lang w:eastAsia="zh-CN"/>
        </w:rPr>
        <w:t>招标人</w:t>
      </w:r>
      <w:r>
        <w:rPr>
          <w:rFonts w:hint="eastAsia" w:ascii="宋体" w:hAnsi="宋体" w:cs="宋体"/>
          <w:kern w:val="0"/>
          <w:sz w:val="24"/>
          <w:szCs w:val="24"/>
        </w:rPr>
        <w:t>向中标人发出《中标通知书》。</w:t>
      </w:r>
    </w:p>
    <w:p w14:paraId="100C23B7">
      <w:pPr>
        <w:keepNext w:val="0"/>
        <w:keepLines w:val="0"/>
        <w:pageBreakBefore w:val="0"/>
        <w:kinsoku/>
        <w:wordWrap/>
        <w:overflowPunct/>
        <w:topLinePunct w:val="0"/>
        <w:autoSpaceDE/>
        <w:autoSpaceDN/>
        <w:bidi w:val="0"/>
        <w:spacing w:line="420" w:lineRule="exact"/>
        <w:ind w:firstLine="484" w:firstLineChars="202"/>
        <w:textAlignment w:val="auto"/>
        <w:rPr>
          <w:rFonts w:ascii="宋体" w:hAnsi="宋体" w:cs="宋体"/>
          <w:kern w:val="0"/>
          <w:sz w:val="24"/>
          <w:szCs w:val="24"/>
        </w:rPr>
      </w:pPr>
      <w:r>
        <w:rPr>
          <w:rFonts w:hint="eastAsia" w:ascii="宋体" w:hAnsi="宋体" w:cs="宋体"/>
          <w:kern w:val="0"/>
          <w:sz w:val="24"/>
          <w:szCs w:val="24"/>
        </w:rPr>
        <w:t>3.《中标通知书》一经发出，即具有法律效力。</w:t>
      </w:r>
      <w:r>
        <w:rPr>
          <w:rFonts w:hint="eastAsia" w:ascii="宋体" w:hAnsi="宋体" w:cs="宋体"/>
          <w:kern w:val="0"/>
          <w:sz w:val="24"/>
          <w:szCs w:val="24"/>
          <w:lang w:eastAsia="zh-CN"/>
        </w:rPr>
        <w:t>招标人</w:t>
      </w:r>
      <w:r>
        <w:rPr>
          <w:rFonts w:hint="eastAsia" w:ascii="宋体" w:hAnsi="宋体" w:cs="宋体"/>
          <w:kern w:val="0"/>
          <w:sz w:val="24"/>
          <w:szCs w:val="24"/>
        </w:rPr>
        <w:t>、中标人依法承担法律责任。</w:t>
      </w:r>
    </w:p>
    <w:p w14:paraId="100C23B9">
      <w:pPr>
        <w:spacing w:line="460" w:lineRule="exact"/>
        <w:ind w:firstLine="649" w:firstLineChars="202"/>
        <w:jc w:val="center"/>
        <w:rPr>
          <w:rFonts w:ascii="宋体" w:hAnsi="宋体" w:cs="宋体"/>
          <w:b/>
          <w:bCs/>
          <w:kern w:val="0"/>
          <w:sz w:val="32"/>
          <w:szCs w:val="32"/>
        </w:rPr>
      </w:pPr>
      <w:r>
        <w:rPr>
          <w:rFonts w:hint="eastAsia" w:ascii="宋体" w:hAnsi="宋体" w:cs="宋体"/>
          <w:b/>
          <w:sz w:val="32"/>
          <w:szCs w:val="32"/>
        </w:rPr>
        <w:t>第五章 合同主要条款</w:t>
      </w:r>
    </w:p>
    <w:p w14:paraId="100C23BA">
      <w:pPr>
        <w:spacing w:line="460" w:lineRule="exact"/>
        <w:rPr>
          <w:rFonts w:ascii="宋体" w:hAnsi="宋体" w:cs="宋体"/>
          <w:sz w:val="22"/>
          <w:szCs w:val="22"/>
        </w:rPr>
      </w:pPr>
    </w:p>
    <w:p w14:paraId="100C23BB">
      <w:pPr>
        <w:snapToGrid w:val="0"/>
        <w:spacing w:line="460" w:lineRule="exact"/>
        <w:ind w:firstLine="480" w:firstLineChars="200"/>
        <w:rPr>
          <w:rFonts w:ascii="宋体" w:hAnsi="宋体" w:cs="宋体"/>
          <w:sz w:val="24"/>
          <w:szCs w:val="24"/>
          <w:lang w:val="zh-CN"/>
        </w:rPr>
      </w:pPr>
      <w:r>
        <w:rPr>
          <w:rFonts w:hint="eastAsia" w:ascii="宋体" w:hAnsi="宋体" w:cs="宋体"/>
          <w:sz w:val="24"/>
          <w:szCs w:val="24"/>
          <w:lang w:val="zh-CN"/>
        </w:rPr>
        <w:t>一、</w:t>
      </w:r>
      <w:r>
        <w:rPr>
          <w:rFonts w:hint="eastAsia" w:ascii="宋体" w:hAnsi="宋体" w:cs="宋体"/>
          <w:sz w:val="24"/>
          <w:szCs w:val="24"/>
        </w:rPr>
        <w:t>中标人</w:t>
      </w:r>
      <w:r>
        <w:rPr>
          <w:rFonts w:hint="eastAsia" w:ascii="宋体" w:hAnsi="宋体" w:cs="宋体"/>
          <w:sz w:val="24"/>
          <w:szCs w:val="24"/>
          <w:lang w:val="zh-CN"/>
        </w:rPr>
        <w:t>在接到《成交通知书》后</w:t>
      </w:r>
      <w:r>
        <w:rPr>
          <w:rFonts w:hint="eastAsia" w:ascii="宋体" w:hAnsi="宋体" w:cs="宋体"/>
          <w:sz w:val="24"/>
          <w:szCs w:val="24"/>
        </w:rPr>
        <w:t>30日</w:t>
      </w:r>
      <w:r>
        <w:rPr>
          <w:rFonts w:hint="eastAsia" w:ascii="宋体" w:hAnsi="宋体" w:cs="宋体"/>
          <w:sz w:val="24"/>
          <w:szCs w:val="24"/>
          <w:lang w:val="zh-CN"/>
        </w:rPr>
        <w:t>内和</w:t>
      </w:r>
      <w:r>
        <w:rPr>
          <w:rFonts w:hint="eastAsia" w:ascii="宋体" w:hAnsi="宋体" w:cs="宋体"/>
          <w:sz w:val="24"/>
          <w:szCs w:val="24"/>
          <w:lang w:eastAsia="zh-CN"/>
        </w:rPr>
        <w:t>招标人</w:t>
      </w:r>
      <w:r>
        <w:rPr>
          <w:rFonts w:hint="eastAsia" w:ascii="宋体" w:hAnsi="宋体" w:cs="宋体"/>
          <w:sz w:val="24"/>
          <w:szCs w:val="24"/>
          <w:lang w:val="zh-CN"/>
        </w:rPr>
        <w:t>签订合同。合同签订后</w:t>
      </w:r>
      <w:r>
        <w:rPr>
          <w:rFonts w:hint="eastAsia" w:ascii="宋体" w:hAnsi="宋体" w:cs="宋体"/>
          <w:sz w:val="24"/>
          <w:szCs w:val="24"/>
        </w:rPr>
        <w:t>中标人</w:t>
      </w:r>
      <w:r>
        <w:rPr>
          <w:rFonts w:hint="eastAsia" w:ascii="宋体" w:hAnsi="宋体" w:cs="宋体"/>
          <w:sz w:val="24"/>
          <w:szCs w:val="24"/>
          <w:lang w:val="zh-CN"/>
        </w:rPr>
        <w:t>方可履约，否则引起的一切后果由</w:t>
      </w:r>
      <w:r>
        <w:rPr>
          <w:rFonts w:hint="eastAsia" w:ascii="宋体" w:hAnsi="宋体" w:cs="宋体"/>
          <w:sz w:val="24"/>
          <w:szCs w:val="24"/>
        </w:rPr>
        <w:t>中标人</w:t>
      </w:r>
      <w:r>
        <w:rPr>
          <w:rFonts w:hint="eastAsia" w:ascii="宋体" w:hAnsi="宋体" w:cs="宋体"/>
          <w:sz w:val="24"/>
          <w:szCs w:val="24"/>
          <w:lang w:val="zh-CN"/>
        </w:rPr>
        <w:t>自行承担。所签合同不得对</w:t>
      </w:r>
      <w:r>
        <w:rPr>
          <w:rFonts w:hint="eastAsia" w:ascii="宋体" w:hAnsi="宋体" w:cs="宋体"/>
          <w:sz w:val="24"/>
          <w:szCs w:val="24"/>
        </w:rPr>
        <w:t>招标</w:t>
      </w:r>
      <w:r>
        <w:rPr>
          <w:rFonts w:hint="eastAsia" w:ascii="宋体" w:hAnsi="宋体" w:cs="宋体"/>
          <w:sz w:val="24"/>
          <w:szCs w:val="24"/>
          <w:lang w:val="zh-CN"/>
        </w:rPr>
        <w:t>文件作实质性修改。招标人不得向中标人提出不合理的要求作为签订合同的条件，不得与中标人私下订立背离招标文件实质性内容的协议。</w:t>
      </w:r>
    </w:p>
    <w:p w14:paraId="100C23BC">
      <w:pPr>
        <w:snapToGrid w:val="0"/>
        <w:spacing w:line="460" w:lineRule="exact"/>
        <w:ind w:firstLine="480" w:firstLineChars="200"/>
        <w:rPr>
          <w:rFonts w:ascii="宋体" w:hAnsi="宋体" w:cs="宋体"/>
          <w:sz w:val="24"/>
          <w:szCs w:val="24"/>
          <w:lang w:val="zh-CN"/>
        </w:rPr>
      </w:pPr>
      <w:r>
        <w:rPr>
          <w:rFonts w:hint="eastAsia" w:ascii="宋体" w:hAnsi="宋体" w:cs="宋体"/>
          <w:sz w:val="24"/>
          <w:szCs w:val="24"/>
          <w:lang w:val="zh-CN"/>
        </w:rPr>
        <w:t>二、中标人切实履行投标响应和承诺</w:t>
      </w:r>
      <w:r>
        <w:rPr>
          <w:rFonts w:hint="eastAsia" w:ascii="宋体" w:hAnsi="宋体" w:cs="宋体"/>
          <w:sz w:val="24"/>
          <w:szCs w:val="24"/>
        </w:rPr>
        <w:t>内容</w:t>
      </w:r>
      <w:r>
        <w:rPr>
          <w:rFonts w:hint="eastAsia" w:ascii="宋体" w:hAnsi="宋体" w:cs="宋体"/>
          <w:sz w:val="24"/>
          <w:szCs w:val="24"/>
          <w:lang w:val="zh-CN"/>
        </w:rPr>
        <w:t>。</w:t>
      </w:r>
    </w:p>
    <w:p w14:paraId="100C23BD">
      <w:pPr>
        <w:snapToGrid w:val="0"/>
        <w:spacing w:line="460" w:lineRule="exact"/>
        <w:ind w:firstLine="480" w:firstLineChars="200"/>
        <w:rPr>
          <w:rFonts w:ascii="宋体" w:hAnsi="宋体" w:cs="宋体"/>
          <w:sz w:val="24"/>
          <w:szCs w:val="24"/>
          <w:lang w:val="zh-CN"/>
        </w:rPr>
      </w:pPr>
      <w:r>
        <w:rPr>
          <w:rFonts w:hint="eastAsia" w:ascii="宋体" w:hAnsi="宋体" w:cs="宋体"/>
          <w:sz w:val="24"/>
          <w:szCs w:val="24"/>
        </w:rPr>
        <w:t>三、</w:t>
      </w:r>
      <w:r>
        <w:rPr>
          <w:rFonts w:hint="eastAsia" w:ascii="宋体" w:hAnsi="宋体" w:cs="宋体"/>
          <w:sz w:val="24"/>
          <w:szCs w:val="24"/>
          <w:lang w:val="zh-CN"/>
        </w:rPr>
        <w:t>中标人出现违约情形，应当及时纠正或补偿；造成损失的，按合同约定追究违约责任；发现有商业贿赂等违法情形的，应由招标人移交与投标人相关的政府执法部门依法查处。</w:t>
      </w:r>
    </w:p>
    <w:p w14:paraId="100C23BE">
      <w:pPr>
        <w:snapToGrid w:val="0"/>
        <w:spacing w:line="460" w:lineRule="exact"/>
        <w:ind w:firstLine="480" w:firstLineChars="200"/>
        <w:rPr>
          <w:rFonts w:ascii="宋体" w:hAnsi="宋体" w:cs="宋体"/>
          <w:sz w:val="24"/>
          <w:szCs w:val="24"/>
        </w:rPr>
      </w:pPr>
      <w:r>
        <w:rPr>
          <w:rFonts w:hint="eastAsia" w:ascii="宋体" w:hAnsi="宋体" w:cs="宋体"/>
          <w:sz w:val="24"/>
          <w:szCs w:val="24"/>
        </w:rPr>
        <w:t>四、合同样本</w:t>
      </w:r>
    </w:p>
    <w:p w14:paraId="100C23BF">
      <w:pPr>
        <w:rPr>
          <w:rFonts w:ascii="宋体" w:hAnsi="宋体" w:cs="宋体"/>
          <w:sz w:val="24"/>
          <w:szCs w:val="24"/>
        </w:rPr>
      </w:pPr>
      <w:r>
        <w:rPr>
          <w:rFonts w:hint="eastAsia" w:ascii="宋体" w:hAnsi="宋体" w:cs="宋体"/>
          <w:sz w:val="24"/>
          <w:szCs w:val="24"/>
        </w:rPr>
        <w:br w:type="page"/>
      </w:r>
    </w:p>
    <w:p w14:paraId="036D26B7">
      <w:pPr>
        <w:spacing w:line="540" w:lineRule="exact"/>
        <w:jc w:val="center"/>
        <w:outlineLvl w:val="1"/>
        <w:rPr>
          <w:rFonts w:hint="eastAsia" w:ascii="宋体" w:hAnsi="宋体"/>
          <w:b/>
          <w:w w:val="90"/>
          <w:sz w:val="36"/>
          <w:szCs w:val="36"/>
        </w:rPr>
      </w:pPr>
      <w:r>
        <w:rPr>
          <w:rFonts w:ascii="宋体" w:hAnsi="宋体"/>
          <w:b/>
          <w:w w:val="90"/>
          <w:sz w:val="36"/>
          <w:szCs w:val="36"/>
        </w:rPr>
        <w:t>食堂大宗</w:t>
      </w:r>
      <w:r>
        <w:rPr>
          <w:rFonts w:hint="eastAsia" w:ascii="宋体" w:hAnsi="宋体"/>
          <w:b/>
          <w:w w:val="90"/>
          <w:sz w:val="36"/>
          <w:szCs w:val="36"/>
        </w:rPr>
        <w:t>食材</w:t>
      </w:r>
      <w:r>
        <w:rPr>
          <w:rFonts w:ascii="宋体" w:hAnsi="宋体"/>
          <w:b/>
          <w:w w:val="90"/>
          <w:sz w:val="36"/>
          <w:szCs w:val="36"/>
        </w:rPr>
        <w:t>集中采购供货协议</w:t>
      </w:r>
      <w:r>
        <w:rPr>
          <w:rFonts w:hint="eastAsia" w:ascii="宋体" w:hAnsi="宋体"/>
          <w:b/>
          <w:w w:val="90"/>
          <w:sz w:val="36"/>
          <w:szCs w:val="36"/>
        </w:rPr>
        <w:t>（初拟稿）</w:t>
      </w:r>
    </w:p>
    <w:p w14:paraId="4946C56C">
      <w:pPr>
        <w:pStyle w:val="20"/>
        <w:jc w:val="center"/>
        <w:rPr>
          <w:rFonts w:hint="eastAsia"/>
          <w:b/>
          <w:w w:val="90"/>
          <w:sz w:val="24"/>
          <w:szCs w:val="24"/>
        </w:rPr>
      </w:pPr>
      <w:r>
        <w:rPr>
          <w:rFonts w:hint="eastAsia"/>
          <w:b/>
          <w:w w:val="90"/>
          <w:sz w:val="24"/>
          <w:szCs w:val="24"/>
        </w:rPr>
        <w:t>项目编号：</w:t>
      </w:r>
    </w:p>
    <w:p w14:paraId="79CAF12A">
      <w:pPr>
        <w:pStyle w:val="20"/>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采购单位</w:t>
      </w:r>
      <w:r>
        <w:rPr>
          <w:rFonts w:hint="eastAsia" w:ascii="方正仿宋_GB18030" w:hAnsi="方正仿宋_GB18030" w:eastAsia="方正仿宋_GB18030" w:cs="方正仿宋_GB18030"/>
          <w:sz w:val="21"/>
          <w:szCs w:val="21"/>
          <w:highlight w:val="none"/>
        </w:rPr>
        <w:t>：南通师范高等专科学校（以下简称“甲方”）</w:t>
      </w:r>
    </w:p>
    <w:p w14:paraId="6BE45499">
      <w:pPr>
        <w:keepNext w:val="0"/>
        <w:keepLines w:val="0"/>
        <w:pageBreakBefore w:val="0"/>
        <w:widowControl w:val="0"/>
        <w:kinsoku/>
        <w:wordWrap/>
        <w:overflowPunct/>
        <w:topLinePunct w:val="0"/>
        <w:bidi w:val="0"/>
        <w:spacing w:after="0" w:line="420" w:lineRule="exact"/>
        <w:ind w:firstLine="420" w:firstLineChars="200"/>
        <w:contextualSpacing/>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b/>
          <w:bCs/>
          <w:sz w:val="21"/>
          <w:szCs w:val="21"/>
          <w:highlight w:val="none"/>
          <w:lang w:val="zh-CN"/>
        </w:rPr>
        <w:t>统一社会信用代码:</w:t>
      </w:r>
      <w:r>
        <w:rPr>
          <w:rFonts w:hint="eastAsia" w:ascii="方正仿宋_GB18030" w:hAnsi="方正仿宋_GB18030" w:eastAsia="方正仿宋_GB18030" w:cs="方正仿宋_GB18030"/>
          <w:sz w:val="21"/>
          <w:szCs w:val="21"/>
          <w:highlight w:val="none"/>
          <w:lang w:val="zh-CN"/>
        </w:rPr>
        <w:t xml:space="preserve">123206004675400860 </w:t>
      </w:r>
    </w:p>
    <w:p w14:paraId="76401035">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contextualSpacing/>
        <w:jc w:val="left"/>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b/>
          <w:bCs/>
          <w:sz w:val="21"/>
          <w:szCs w:val="21"/>
          <w:highlight w:val="none"/>
          <w:lang w:val="zh-CN"/>
        </w:rPr>
        <w:t>开户银行:</w:t>
      </w:r>
      <w:r>
        <w:rPr>
          <w:rFonts w:hint="eastAsia" w:ascii="方正仿宋_GB18030" w:hAnsi="方正仿宋_GB18030" w:eastAsia="方正仿宋_GB18030" w:cs="方正仿宋_GB18030"/>
          <w:sz w:val="21"/>
          <w:szCs w:val="21"/>
          <w:highlight w:val="none"/>
          <w:lang w:val="zh-CN"/>
        </w:rPr>
        <w:t xml:space="preserve">江苏南通工行城南支行 </w:t>
      </w:r>
    </w:p>
    <w:p w14:paraId="77F798AD">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contextualSpacing/>
        <w:jc w:val="left"/>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b/>
          <w:bCs/>
          <w:sz w:val="21"/>
          <w:szCs w:val="21"/>
          <w:highlight w:val="none"/>
          <w:lang w:val="zh-CN"/>
        </w:rPr>
        <w:t>银行账号:</w:t>
      </w:r>
      <w:r>
        <w:rPr>
          <w:rFonts w:hint="eastAsia" w:ascii="方正仿宋_GB18030" w:hAnsi="方正仿宋_GB18030" w:eastAsia="方正仿宋_GB18030" w:cs="方正仿宋_GB18030"/>
          <w:sz w:val="21"/>
          <w:szCs w:val="21"/>
          <w:highlight w:val="none"/>
          <w:lang w:val="zh-CN"/>
        </w:rPr>
        <w:t xml:space="preserve">1111822129100207539 </w:t>
      </w:r>
    </w:p>
    <w:p w14:paraId="2F59C50E">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contextualSpacing/>
        <w:jc w:val="left"/>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单位</w:t>
      </w:r>
      <w:r>
        <w:rPr>
          <w:rFonts w:hint="eastAsia" w:ascii="方正仿宋_GB18030" w:hAnsi="方正仿宋_GB18030" w:eastAsia="方正仿宋_GB18030" w:cs="方正仿宋_GB18030"/>
          <w:b/>
          <w:bCs/>
          <w:sz w:val="21"/>
          <w:szCs w:val="21"/>
          <w:highlight w:val="none"/>
          <w:lang w:val="zh-CN"/>
        </w:rPr>
        <w:t>地址：</w:t>
      </w:r>
      <w:r>
        <w:rPr>
          <w:rFonts w:hint="eastAsia" w:ascii="方正仿宋_GB18030" w:hAnsi="方正仿宋_GB18030" w:eastAsia="方正仿宋_GB18030" w:cs="方正仿宋_GB18030"/>
          <w:sz w:val="21"/>
          <w:szCs w:val="21"/>
          <w:highlight w:val="none"/>
          <w:lang w:val="zh-CN"/>
        </w:rPr>
        <w:t>江苏省南通</w:t>
      </w:r>
      <w:r>
        <w:rPr>
          <w:rFonts w:hint="eastAsia" w:ascii="方正仿宋_GB18030" w:hAnsi="方正仿宋_GB18030" w:eastAsia="方正仿宋_GB18030" w:cs="方正仿宋_GB18030"/>
          <w:sz w:val="21"/>
          <w:szCs w:val="21"/>
          <w:highlight w:val="none"/>
        </w:rPr>
        <w:t>市</w:t>
      </w:r>
      <w:r>
        <w:rPr>
          <w:rFonts w:hint="eastAsia" w:ascii="方正仿宋_GB18030" w:hAnsi="方正仿宋_GB18030" w:eastAsia="方正仿宋_GB18030" w:cs="方正仿宋_GB18030"/>
          <w:sz w:val="21"/>
          <w:szCs w:val="21"/>
          <w:highlight w:val="none"/>
          <w:lang w:val="zh-CN"/>
        </w:rPr>
        <w:t>经济技术开发区育贤路2号</w:t>
      </w:r>
    </w:p>
    <w:p w14:paraId="37D73637">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jc w:val="left"/>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供应单位：</w:t>
      </w:r>
      <w:r>
        <w:rPr>
          <w:rFonts w:hint="eastAsia" w:ascii="方正仿宋_GB18030" w:hAnsi="方正仿宋_GB18030" w:eastAsia="方正仿宋_GB18030" w:cs="方正仿宋_GB18030"/>
          <w:sz w:val="21"/>
          <w:szCs w:val="21"/>
          <w:highlight w:val="none"/>
        </w:rPr>
        <w:t xml:space="preserve">               （以下简称“乙方”）</w:t>
      </w:r>
    </w:p>
    <w:p w14:paraId="05DCC72F">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统一社会信用代码：</w:t>
      </w:r>
    </w:p>
    <w:p w14:paraId="04A34ED9">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开户银行:</w:t>
      </w:r>
      <w:r>
        <w:rPr>
          <w:rFonts w:hint="eastAsia" w:ascii="方正仿宋_GB18030" w:hAnsi="方正仿宋_GB18030" w:eastAsia="方正仿宋_GB18030" w:cs="方正仿宋_GB18030"/>
          <w:sz w:val="21"/>
          <w:szCs w:val="21"/>
          <w:highlight w:val="none"/>
        </w:rPr>
        <w:t xml:space="preserve"> </w:t>
      </w:r>
    </w:p>
    <w:p w14:paraId="61E17814">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银行账号:</w:t>
      </w:r>
      <w:r>
        <w:rPr>
          <w:rFonts w:hint="eastAsia" w:ascii="方正仿宋_GB18030" w:hAnsi="方正仿宋_GB18030" w:eastAsia="方正仿宋_GB18030" w:cs="方正仿宋_GB18030"/>
          <w:sz w:val="21"/>
          <w:szCs w:val="21"/>
          <w:highlight w:val="none"/>
        </w:rPr>
        <w:t xml:space="preserve"> </w:t>
      </w:r>
    </w:p>
    <w:p w14:paraId="2B321F53">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公司地址：</w:t>
      </w:r>
    </w:p>
    <w:p w14:paraId="00667A48">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联系姓名：</w:t>
      </w:r>
    </w:p>
    <w:p w14:paraId="3142DC25">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联系电话：</w:t>
      </w:r>
    </w:p>
    <w:p w14:paraId="33B724C0">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合同签订地点：</w:t>
      </w:r>
      <w:r>
        <w:rPr>
          <w:rFonts w:hint="eastAsia" w:ascii="方正仿宋_GB18030" w:hAnsi="方正仿宋_GB18030" w:eastAsia="方正仿宋_GB18030" w:cs="方正仿宋_GB18030"/>
          <w:sz w:val="21"/>
          <w:szCs w:val="21"/>
          <w:highlight w:val="none"/>
        </w:rPr>
        <w:t>江苏省南通市经济技术开发区育贤路2号</w:t>
      </w:r>
    </w:p>
    <w:p w14:paraId="773A422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甲乙双方根据《中华人民共和国民法典》《中华人民共和国政府采购法》等有关法律法规及乙方在报价响应时提供的相应报价文件、经营销售服务承诺，经甲乙双方协商签订本协议书，双方共同遵守：</w:t>
      </w:r>
    </w:p>
    <w:p w14:paraId="7095473C">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一、供货内容</w:t>
      </w:r>
    </w:p>
    <w:p w14:paraId="59F832AB">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经甲方公开采购和双方协商，约定甲方所辖食堂日常经营所需的</w:t>
      </w:r>
      <w:r>
        <w:rPr>
          <w:rFonts w:hint="eastAsia" w:ascii="方正仿宋_GB18030" w:hAnsi="方正仿宋_GB18030" w:eastAsia="方正仿宋_GB18030" w:cs="方正仿宋_GB18030"/>
          <w:b/>
          <w:sz w:val="21"/>
          <w:szCs w:val="21"/>
          <w:highlight w:val="none"/>
          <w:u w:val="single"/>
        </w:rPr>
        <w:t xml:space="preserve">    供货物品（标段名）类别       </w:t>
      </w:r>
      <w:r>
        <w:rPr>
          <w:rFonts w:hint="eastAsia" w:ascii="方正仿宋_GB18030" w:hAnsi="方正仿宋_GB18030" w:eastAsia="方正仿宋_GB18030" w:cs="方正仿宋_GB18030"/>
          <w:sz w:val="21"/>
          <w:szCs w:val="21"/>
          <w:highlight w:val="none"/>
        </w:rPr>
        <w:t>由乙方负责供货。</w:t>
      </w:r>
    </w:p>
    <w:p w14:paraId="67BF4E5C">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二、服务期限：</w:t>
      </w:r>
    </w:p>
    <w:p w14:paraId="043A427D">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sz w:val="21"/>
          <w:szCs w:val="21"/>
          <w:highlight w:val="none"/>
        </w:rPr>
        <w:t>本期食堂大宗物品集中采购供货时间自</w:t>
      </w:r>
      <w:r>
        <w:rPr>
          <w:rFonts w:hint="eastAsia" w:ascii="方正仿宋_GB18030" w:hAnsi="方正仿宋_GB18030" w:eastAsia="方正仿宋_GB18030" w:cs="方正仿宋_GB18030"/>
          <w:b/>
          <w:sz w:val="21"/>
          <w:szCs w:val="21"/>
          <w:highlight w:val="none"/>
        </w:rPr>
        <w:t>2026</w:t>
      </w:r>
      <w:r>
        <w:rPr>
          <w:rFonts w:hint="eastAsia" w:ascii="方正仿宋_GB18030" w:hAnsi="方正仿宋_GB18030" w:eastAsia="方正仿宋_GB18030" w:cs="方正仿宋_GB18030"/>
          <w:sz w:val="21"/>
          <w:szCs w:val="21"/>
          <w:highlight w:val="none"/>
        </w:rPr>
        <w:t xml:space="preserve">年   月   日（合同签订之日）起，至 </w:t>
      </w:r>
      <w:r>
        <w:rPr>
          <w:rFonts w:hint="eastAsia" w:ascii="方正仿宋_GB18030" w:hAnsi="方正仿宋_GB18030" w:eastAsia="方正仿宋_GB18030" w:cs="方正仿宋_GB18030"/>
          <w:b/>
          <w:sz w:val="21"/>
          <w:szCs w:val="21"/>
          <w:highlight w:val="none"/>
          <w:u w:val="single"/>
        </w:rPr>
        <w:t>2027</w:t>
      </w:r>
      <w:r>
        <w:rPr>
          <w:rFonts w:hint="eastAsia" w:ascii="方正仿宋_GB18030" w:hAnsi="方正仿宋_GB18030" w:eastAsia="方正仿宋_GB18030" w:cs="方正仿宋_GB18030"/>
          <w:sz w:val="21"/>
          <w:szCs w:val="21"/>
          <w:highlight w:val="none"/>
        </w:rPr>
        <w:t>年  月  日止。</w:t>
      </w:r>
      <w:r>
        <w:rPr>
          <w:rFonts w:hint="eastAsia" w:ascii="方正仿宋_GB18030" w:hAnsi="方正仿宋_GB18030" w:eastAsia="方正仿宋_GB18030" w:cs="方正仿宋_GB18030"/>
          <w:sz w:val="21"/>
          <w:szCs w:val="21"/>
          <w:highlight w:val="none"/>
          <w:lang w:val="zh-CN"/>
        </w:rPr>
        <w:t>其中202</w:t>
      </w:r>
      <w:r>
        <w:rPr>
          <w:rFonts w:hint="eastAsia" w:ascii="方正仿宋_GB18030" w:hAnsi="方正仿宋_GB18030" w:eastAsia="方正仿宋_GB18030" w:cs="方正仿宋_GB18030"/>
          <w:sz w:val="21"/>
          <w:szCs w:val="21"/>
          <w:highlight w:val="none"/>
        </w:rPr>
        <w:t>6</w:t>
      </w:r>
      <w:r>
        <w:rPr>
          <w:rFonts w:hint="eastAsia" w:ascii="方正仿宋_GB18030" w:hAnsi="方正仿宋_GB18030" w:eastAsia="方正仿宋_GB18030" w:cs="方正仿宋_GB18030"/>
          <w:sz w:val="21"/>
          <w:szCs w:val="21"/>
          <w:highlight w:val="none"/>
          <w:lang w:val="zh-CN"/>
        </w:rPr>
        <w:t>年  月  日</w:t>
      </w:r>
      <w:r>
        <w:rPr>
          <w:rFonts w:hint="eastAsia" w:ascii="方正仿宋_GB18030" w:hAnsi="方正仿宋_GB18030" w:eastAsia="方正仿宋_GB18030" w:cs="方正仿宋_GB18030"/>
          <w:sz w:val="21"/>
          <w:szCs w:val="21"/>
          <w:highlight w:val="none"/>
        </w:rPr>
        <w:t>（合同签订之日）</w:t>
      </w:r>
      <w:r>
        <w:rPr>
          <w:rFonts w:hint="eastAsia" w:ascii="方正仿宋_GB18030" w:hAnsi="方正仿宋_GB18030" w:eastAsia="方正仿宋_GB18030" w:cs="方正仿宋_GB18030"/>
          <w:sz w:val="21"/>
          <w:szCs w:val="21"/>
          <w:highlight w:val="none"/>
          <w:lang w:val="zh-CN"/>
        </w:rPr>
        <w:t>至202</w:t>
      </w:r>
      <w:r>
        <w:rPr>
          <w:rFonts w:hint="eastAsia" w:ascii="方正仿宋_GB18030" w:hAnsi="方正仿宋_GB18030" w:eastAsia="方正仿宋_GB18030" w:cs="方正仿宋_GB18030"/>
          <w:sz w:val="21"/>
          <w:szCs w:val="21"/>
          <w:highlight w:val="none"/>
        </w:rPr>
        <w:t>7</w:t>
      </w:r>
      <w:r>
        <w:rPr>
          <w:rFonts w:hint="eastAsia" w:ascii="方正仿宋_GB18030" w:hAnsi="方正仿宋_GB18030" w:eastAsia="方正仿宋_GB18030" w:cs="方正仿宋_GB18030"/>
          <w:sz w:val="21"/>
          <w:szCs w:val="21"/>
          <w:highlight w:val="none"/>
          <w:lang w:val="zh-CN"/>
        </w:rPr>
        <w:t>年1月31日为试用期，如违反《中华人民共和国食品安全法》及学校相关管理条例的中标供货商，</w:t>
      </w:r>
      <w:r>
        <w:rPr>
          <w:rFonts w:hint="eastAsia" w:ascii="方正仿宋_GB18030" w:hAnsi="方正仿宋_GB18030" w:eastAsia="方正仿宋_GB18030" w:cs="方正仿宋_GB18030"/>
          <w:sz w:val="21"/>
          <w:szCs w:val="21"/>
          <w:highlight w:val="none"/>
        </w:rPr>
        <w:t>校方</w:t>
      </w:r>
      <w:r>
        <w:rPr>
          <w:rFonts w:hint="eastAsia" w:ascii="方正仿宋_GB18030" w:hAnsi="方正仿宋_GB18030" w:eastAsia="方正仿宋_GB18030" w:cs="方正仿宋_GB18030"/>
          <w:sz w:val="21"/>
          <w:szCs w:val="21"/>
          <w:highlight w:val="none"/>
          <w:lang w:val="zh-CN"/>
        </w:rPr>
        <w:t>有权终止合同。</w:t>
      </w:r>
    </w:p>
    <w:p w14:paraId="698F9F40">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三、产品质量</w:t>
      </w:r>
    </w:p>
    <w:p w14:paraId="1EF59A0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Cs/>
          <w:sz w:val="21"/>
          <w:szCs w:val="21"/>
          <w:highlight w:val="none"/>
        </w:rPr>
        <w:t>1.供货商提供的食材</w:t>
      </w:r>
      <w:r>
        <w:rPr>
          <w:rFonts w:hint="eastAsia" w:ascii="方正仿宋_GB18030" w:hAnsi="方正仿宋_GB18030" w:eastAsia="方正仿宋_GB18030" w:cs="方正仿宋_GB18030"/>
          <w:sz w:val="21"/>
          <w:szCs w:val="21"/>
          <w:highlight w:val="none"/>
        </w:rPr>
        <w:t>须严格执行国家《食品安全法》，</w:t>
      </w:r>
      <w:r>
        <w:rPr>
          <w:rFonts w:hint="eastAsia" w:ascii="方正仿宋_GB18030" w:hAnsi="方正仿宋_GB18030" w:eastAsia="方正仿宋_GB18030" w:cs="方正仿宋_GB18030"/>
          <w:bCs/>
          <w:sz w:val="21"/>
          <w:szCs w:val="21"/>
          <w:highlight w:val="none"/>
        </w:rPr>
        <w:t>必须符合《国家食品安全标准》（GB），农产品符合《中华人民共和国农业行业标准》（NY）和其它相应的标准，同时要满足学校食品安全与营养健康管理规定中的相关要求及学校对产品的其他质量和食品安全要求。</w:t>
      </w:r>
      <w:r>
        <w:rPr>
          <w:rFonts w:hint="eastAsia" w:ascii="方正仿宋_GB18030" w:hAnsi="方正仿宋_GB18030" w:eastAsia="方正仿宋_GB18030" w:cs="方正仿宋_GB18030"/>
          <w:sz w:val="21"/>
          <w:szCs w:val="21"/>
          <w:highlight w:val="none"/>
        </w:rPr>
        <w:t>不得有掺假、变质、变味、过期等现象出现，严禁伪劣、假冒无证不合格物品进入仓库。</w:t>
      </w:r>
    </w:p>
    <w:p w14:paraId="0CC1C6E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2.供应方按照双方约定送达，采购方及时认真组织验收。在验收时发现质量问题、数量不足或相关技术规格与采购文件和响应文件不符的，有权拒绝验收。一切损失由供应方承担。  </w:t>
      </w:r>
    </w:p>
    <w:p w14:paraId="70880EED">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四、产品配送</w:t>
      </w:r>
    </w:p>
    <w:p w14:paraId="2366903D">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sz w:val="21"/>
          <w:szCs w:val="21"/>
          <w:highlight w:val="none"/>
        </w:rPr>
        <w:t>1.成交供应商</w:t>
      </w:r>
      <w:r>
        <w:rPr>
          <w:rFonts w:hint="eastAsia" w:ascii="方正仿宋_GB18030" w:hAnsi="方正仿宋_GB18030" w:eastAsia="方正仿宋_GB18030" w:cs="方正仿宋_GB18030"/>
          <w:sz w:val="21"/>
          <w:szCs w:val="21"/>
          <w:highlight w:val="none"/>
          <w:lang w:val="zh-CN"/>
        </w:rPr>
        <w:t>必须安排一名专职管理人员，负责我校物资的配送和对接工作。</w:t>
      </w:r>
      <w:r>
        <w:rPr>
          <w:rFonts w:hint="eastAsia" w:ascii="方正仿宋_GB18030" w:hAnsi="方正仿宋_GB18030" w:eastAsia="方正仿宋_GB18030" w:cs="方正仿宋_GB18030"/>
          <w:bCs/>
          <w:sz w:val="21"/>
          <w:szCs w:val="21"/>
          <w:highlight w:val="none"/>
        </w:rPr>
        <w:t>供应商所聘服务人员与采购单位不存在雇佣等劳动关系；供应商应培训好服务从业人员，服务人员需为供应商正式员工（有劳动合同并为其缴纳社会保险），应具有良好的从业道德。供应商所用服务人员的岗位职责、操作规范、人身安全、医疗、工资、各项保险、内部管理、各类纠纷等各项事宜及所涉及经费均由供应商自行负责，采购单位概不负责。</w:t>
      </w:r>
    </w:p>
    <w:p w14:paraId="271E0A5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2.成交供应商应按采购人要求，在学校规定时间之前将物资配送到相应食堂。交货时向采购人提供《送货单》和该批次相关检测报告,提供相应的南通市发展改革委员会网站（http://fgw.nantong.gov.cn/）公布的平均市场价，采购人验货和监秤人员在《送货单》（一式三份）上签字后，双方各执一份作为结算凭证，另一份交学校备案。</w:t>
      </w:r>
    </w:p>
    <w:p w14:paraId="082ABF2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3.如供应商未能及时送货、无故断供，本标段无其他备选供应商，采购人只能对外市场应急采购，所有采购差价、人工、餐食延误损失全部由乙方承担，直接从履约保证金全额抵扣；履约保证金不足弥补损失的，采购人有权向乙方追偿全部差额。</w:t>
      </w:r>
    </w:p>
    <w:p w14:paraId="685129B4">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sz w:val="21"/>
          <w:szCs w:val="21"/>
          <w:highlight w:val="none"/>
        </w:rPr>
        <w:t>4.如采购人有应急采购的物资，价格不得高于市场零售价。</w:t>
      </w:r>
    </w:p>
    <w:p w14:paraId="13D37826">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sz w:val="21"/>
          <w:szCs w:val="21"/>
          <w:highlight w:val="none"/>
        </w:rPr>
        <w:t>5.</w:t>
      </w:r>
      <w:r>
        <w:rPr>
          <w:rFonts w:hint="eastAsia" w:ascii="方正仿宋_GB18030" w:hAnsi="方正仿宋_GB18030" w:eastAsia="方正仿宋_GB18030" w:cs="方正仿宋_GB18030"/>
          <w:sz w:val="21"/>
          <w:szCs w:val="21"/>
          <w:highlight w:val="none"/>
          <w:lang w:val="zh-CN"/>
        </w:rPr>
        <w:t>中标供应商应具备固定的自备车辆为采购人进行物资配送。供应商在配送中应严格遵守国家各项法律法规，并承担由于违章、肇事、违法等行为所产生的全部责任及经济损失。</w:t>
      </w:r>
    </w:p>
    <w:p w14:paraId="5976FCF7">
      <w:pPr>
        <w:pStyle w:val="27"/>
        <w:keepNext w:val="0"/>
        <w:keepLines w:val="0"/>
        <w:pageBreakBefore w:val="0"/>
        <w:widowControl w:val="0"/>
        <w:kinsoku/>
        <w:wordWrap/>
        <w:overflowPunct/>
        <w:topLinePunct w:val="0"/>
        <w:bidi w:val="0"/>
        <w:spacing w:after="0" w:line="420" w:lineRule="exact"/>
        <w:ind w:right="0" w:rightChars="0" w:firstLine="420" w:firstLineChars="200"/>
        <w:jc w:val="both"/>
        <w:textAlignment w:val="auto"/>
        <w:rPr>
          <w:rFonts w:hint="eastAsia" w:ascii="方正仿宋_GB18030" w:hAnsi="方正仿宋_GB18030" w:eastAsia="方正仿宋_GB18030" w:cs="方正仿宋_GB18030"/>
          <w:color w:val="auto"/>
          <w:sz w:val="21"/>
          <w:szCs w:val="21"/>
          <w:highlight w:val="none"/>
        </w:rPr>
      </w:pPr>
      <w:r>
        <w:rPr>
          <w:rFonts w:hint="eastAsia" w:ascii="方正仿宋_GB18030" w:hAnsi="方正仿宋_GB18030" w:eastAsia="方正仿宋_GB18030" w:cs="方正仿宋_GB18030"/>
          <w:color w:val="auto"/>
          <w:sz w:val="21"/>
          <w:szCs w:val="21"/>
          <w:highlight w:val="none"/>
        </w:rPr>
        <w:t>6.供应商须按照学校采购管理人员通知的时间、数量、品种、质量要求准时送货，验收合格后签字确认。供应商不得以任何理由推脱、拖延供货时间，一旦因供应商供货影响到学校食堂的正常运转，供应商应承担相应的经济赔偿和违约责任。</w:t>
      </w:r>
    </w:p>
    <w:p w14:paraId="60BE69FC">
      <w:pPr>
        <w:pStyle w:val="27"/>
        <w:keepNext w:val="0"/>
        <w:keepLines w:val="0"/>
        <w:pageBreakBefore w:val="0"/>
        <w:widowControl w:val="0"/>
        <w:kinsoku/>
        <w:wordWrap/>
        <w:overflowPunct/>
        <w:topLinePunct w:val="0"/>
        <w:bidi w:val="0"/>
        <w:spacing w:after="0" w:line="420" w:lineRule="exact"/>
        <w:ind w:right="0" w:rightChars="0" w:firstLine="420" w:firstLineChars="200"/>
        <w:jc w:val="both"/>
        <w:textAlignment w:val="auto"/>
        <w:rPr>
          <w:rFonts w:hint="eastAsia" w:ascii="方正仿宋_GB18030" w:hAnsi="方正仿宋_GB18030" w:eastAsia="方正仿宋_GB18030" w:cs="方正仿宋_GB18030"/>
          <w:color w:val="auto"/>
          <w:sz w:val="21"/>
          <w:szCs w:val="21"/>
          <w:highlight w:val="none"/>
        </w:rPr>
      </w:pPr>
      <w:r>
        <w:rPr>
          <w:rFonts w:hint="eastAsia" w:ascii="方正仿宋_GB18030" w:hAnsi="方正仿宋_GB18030" w:eastAsia="方正仿宋_GB18030" w:cs="方正仿宋_GB18030"/>
          <w:color w:val="auto"/>
          <w:sz w:val="21"/>
          <w:szCs w:val="21"/>
          <w:highlight w:val="none"/>
        </w:rPr>
        <w:t>7.供应商须提供免费装卸服务，按照学校要求将所供物品摆放到指定的库房地点。</w:t>
      </w:r>
    </w:p>
    <w:p w14:paraId="5D73FC01">
      <w:pPr>
        <w:pStyle w:val="27"/>
        <w:keepNext w:val="0"/>
        <w:keepLines w:val="0"/>
        <w:pageBreakBefore w:val="0"/>
        <w:widowControl w:val="0"/>
        <w:kinsoku/>
        <w:wordWrap/>
        <w:overflowPunct/>
        <w:topLinePunct w:val="0"/>
        <w:bidi w:val="0"/>
        <w:spacing w:after="0" w:line="420" w:lineRule="exact"/>
        <w:ind w:right="0" w:rightChars="0" w:firstLine="420" w:firstLineChars="200"/>
        <w:jc w:val="both"/>
        <w:textAlignment w:val="auto"/>
        <w:rPr>
          <w:rFonts w:hint="eastAsia" w:ascii="方正仿宋_GB18030" w:hAnsi="方正仿宋_GB18030" w:eastAsia="方正仿宋_GB18030" w:cs="方正仿宋_GB18030"/>
          <w:color w:val="auto"/>
          <w:sz w:val="21"/>
          <w:szCs w:val="21"/>
          <w:highlight w:val="none"/>
        </w:rPr>
      </w:pPr>
      <w:r>
        <w:rPr>
          <w:rFonts w:hint="eastAsia" w:ascii="方正仿宋_GB18030" w:hAnsi="方正仿宋_GB18030" w:eastAsia="方正仿宋_GB18030" w:cs="方正仿宋_GB18030"/>
          <w:color w:val="auto"/>
          <w:sz w:val="21"/>
          <w:szCs w:val="21"/>
          <w:highlight w:val="none"/>
        </w:rPr>
        <w:t>8.配送过程中，必须符合食品配送要求，使用专用配送车辆，为了确保货物的品质及新鲜度，猪肉、冻品必须使用冷链配送专用车辆配送。</w:t>
      </w:r>
    </w:p>
    <w:p w14:paraId="0CC81680">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五、违约责任</w:t>
      </w:r>
    </w:p>
    <w:p w14:paraId="0B086AF4">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1.中标方在签订供货协议时应足额缴纳产品供应合同履约保证金大写（人民币）：</w:t>
      </w:r>
      <w:r>
        <w:rPr>
          <w:rFonts w:hint="eastAsia" w:ascii="方正仿宋_GB18030" w:hAnsi="方正仿宋_GB18030" w:eastAsia="方正仿宋_GB18030" w:cs="方正仿宋_GB18030"/>
          <w:b/>
          <w:sz w:val="21"/>
          <w:szCs w:val="21"/>
          <w:highlight w:val="none"/>
          <w:u w:val="single"/>
          <w:lang w:val="en-US" w:eastAsia="zh-CN"/>
        </w:rPr>
        <w:t xml:space="preserve">    </w:t>
      </w:r>
      <w:r>
        <w:rPr>
          <w:rFonts w:hint="eastAsia" w:ascii="方正仿宋_GB18030" w:hAnsi="方正仿宋_GB18030" w:eastAsia="方正仿宋_GB18030" w:cs="方正仿宋_GB18030"/>
          <w:sz w:val="21"/>
          <w:szCs w:val="21"/>
          <w:highlight w:val="none"/>
        </w:rPr>
        <w:t>（小写：¥</w:t>
      </w:r>
      <w:r>
        <w:rPr>
          <w:rFonts w:hint="eastAsia" w:ascii="方正仿宋_GB18030" w:hAnsi="方正仿宋_GB18030" w:eastAsia="方正仿宋_GB18030" w:cs="方正仿宋_GB18030"/>
          <w:sz w:val="21"/>
          <w:szCs w:val="21"/>
          <w:highlight w:val="none"/>
          <w:lang w:val="en-US" w:eastAsia="zh-CN"/>
        </w:rPr>
        <w:t xml:space="preserve">   </w:t>
      </w:r>
      <w:r>
        <w:rPr>
          <w:rFonts w:hint="eastAsia" w:ascii="方正仿宋_GB18030" w:hAnsi="方正仿宋_GB18030" w:eastAsia="方正仿宋_GB18030" w:cs="方正仿宋_GB18030"/>
          <w:sz w:val="21"/>
          <w:szCs w:val="21"/>
          <w:highlight w:val="none"/>
        </w:rPr>
        <w:t>）。在供应过程中出现产品质量安全、卫生等重大问题时，采购单位有权启用履约保证金先行支付相关费用。在合同终止时，供应商在已完全承担全部经济与法律责任（如经济、劳工、合约纠纷、赔偿责任等）后，履约保证金予以无息返还</w:t>
      </w:r>
      <w:r>
        <w:rPr>
          <w:rFonts w:hint="eastAsia" w:ascii="方正仿宋_GB18030" w:hAnsi="方正仿宋_GB18030" w:eastAsia="方正仿宋_GB18030" w:cs="方正仿宋_GB18030"/>
          <w:b/>
          <w:sz w:val="21"/>
          <w:szCs w:val="21"/>
          <w:highlight w:val="none"/>
        </w:rPr>
        <w:t>剩余部分</w:t>
      </w:r>
      <w:r>
        <w:rPr>
          <w:rFonts w:hint="eastAsia" w:ascii="方正仿宋_GB18030" w:hAnsi="方正仿宋_GB18030" w:eastAsia="方正仿宋_GB18030" w:cs="方正仿宋_GB18030"/>
          <w:sz w:val="21"/>
          <w:szCs w:val="21"/>
          <w:highlight w:val="none"/>
        </w:rPr>
        <w:t>（如有）。</w:t>
      </w:r>
    </w:p>
    <w:p w14:paraId="4195000E">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2.供应商有下列行为之一的将作为违约处理，采购单位有权终止协议，履约保证金不予退还：</w:t>
      </w:r>
    </w:p>
    <w:p w14:paraId="1BE106D6">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（1）供应商没有按采购单位要求及时供货或无故不供货；</w:t>
      </w:r>
    </w:p>
    <w:p w14:paraId="550B9A8A">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sz w:val="21"/>
          <w:szCs w:val="21"/>
          <w:highlight w:val="none"/>
        </w:rPr>
        <w:t>（2）供应商交付的货物规格和质量等跟供应商的响应文件中相关承诺存在不符，降低货物的规格和质量等，</w:t>
      </w:r>
      <w:r>
        <w:rPr>
          <w:rFonts w:hint="eastAsia" w:ascii="方正仿宋_GB18030" w:hAnsi="方正仿宋_GB18030" w:eastAsia="方正仿宋_GB18030" w:cs="方正仿宋_GB18030"/>
          <w:bCs/>
          <w:sz w:val="21"/>
          <w:szCs w:val="21"/>
          <w:highlight w:val="none"/>
        </w:rPr>
        <w:t>一经查实将对供应商处以该批食材10倍价的处罚，且采购单位有权立即终止合同；</w:t>
      </w:r>
    </w:p>
    <w:p w14:paraId="1A67241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3）供应商需严格执行《中华人民共和国食品安全法》《中华人民共和国动物防疫法》等相关法律，无条件接受采购方、教育局、市场监督部门的管理、指导、监督、考核。如因食材质量问题导致食物中毒，将追究供应商相关法律责任；</w:t>
      </w:r>
    </w:p>
    <w:p w14:paraId="3036E605">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4）供应商有义务规范提供各类食材的检验检疫证明，为采购单位提供相关食材所需提供的索证材料。在经营过程中如不能及时提供完整的材料，采购单位将拒绝结算货款，一切损失由供应商承担。采购单位视情节轻重将对供应商给予200-2000元处罚，若屡教不改，采购单位有权终止合同；</w:t>
      </w:r>
    </w:p>
    <w:p w14:paraId="1C5E8C4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5）供应商在履约期间，不得与采购方食堂从业人员含厨师、总厨、验收人、保管员、会计及其他管理者相勾结，出现以次充好、虚报数量、虚开发票等侵害采购方师生利益的违规违纪违法行为，否则一经查实，采购方有权立即单方面终止合同，并追究供应商相关经济和法律责任。</w:t>
      </w:r>
    </w:p>
    <w:p w14:paraId="12229307">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六、结算方式</w:t>
      </w:r>
    </w:p>
    <w:p w14:paraId="6106F7FB">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Cs/>
          <w:sz w:val="21"/>
          <w:szCs w:val="21"/>
          <w:highlight w:val="none"/>
        </w:rPr>
        <w:t>1.供应商每次结算货款前，必须向采购单位开具正规发票，发票能在税务局发票查询系统查询到。</w:t>
      </w:r>
    </w:p>
    <w:p w14:paraId="19C8F484">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2.供应商所供商品货款以月为单位按实进行结算，供应商于每月月底与采购单位财务部门结算当月的累计货款。</w:t>
      </w:r>
    </w:p>
    <w:p w14:paraId="363185F5">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sz w:val="21"/>
          <w:szCs w:val="21"/>
          <w:highlight w:val="none"/>
        </w:rPr>
        <w:t>3.</w:t>
      </w:r>
      <w:r>
        <w:rPr>
          <w:rFonts w:hint="eastAsia" w:ascii="方正仿宋_GB18030" w:hAnsi="方正仿宋_GB18030" w:eastAsia="方正仿宋_GB18030" w:cs="方正仿宋_GB18030"/>
          <w:bCs/>
          <w:sz w:val="21"/>
          <w:szCs w:val="21"/>
          <w:highlight w:val="none"/>
        </w:rPr>
        <w:t>供应价=市场基准价×成交折扣（中标折扣）。供应价包含食材、利润、供应商人工费、相关税费、运输到指定地点的装运费、搬卸费、加工费及各种损耗、检测费等一切费用。</w:t>
      </w:r>
    </w:p>
    <w:p w14:paraId="21EF31A6">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4.最终结算=实际需求量*供应价。按月结算，如遇节假日、寒暑假顺延。</w:t>
      </w:r>
    </w:p>
    <w:p w14:paraId="0D620C2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5.采购方综合比较服务质量、所供货物的质量和价格选择供应商供货。</w:t>
      </w:r>
    </w:p>
    <w:p w14:paraId="0B29FC4A">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七、合同生效</w:t>
      </w:r>
    </w:p>
    <w:p w14:paraId="1895698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1.本合同一式伍份，甲方四份，乙方一份，具有同等法律效应。</w:t>
      </w:r>
    </w:p>
    <w:p w14:paraId="1C0D482E">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2.本合同经双方法定代表人或委托代理人签字盖章后生效。</w:t>
      </w:r>
    </w:p>
    <w:p w14:paraId="0914C31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3.本协议书未尽事宜，遵照《中华人民共和国民法典》等法律法规有关条文执行。</w:t>
      </w:r>
    </w:p>
    <w:p w14:paraId="6B57FC1D">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p>
    <w:p w14:paraId="58745825">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甲方（盖章）：                    乙方（盖章）：</w:t>
      </w:r>
    </w:p>
    <w:p w14:paraId="0A7146B6">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南通师范高等专科学校               </w:t>
      </w:r>
    </w:p>
    <w:p w14:paraId="77098D75">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签约日期：2026年 月 日           签约日期：2026 年月 日 </w:t>
      </w:r>
    </w:p>
    <w:p w14:paraId="18E26109">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法定代表人（授权代表）            法定代表人（授权代表）   </w:t>
      </w:r>
    </w:p>
    <w:p w14:paraId="20411AE1">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sz w:val="21"/>
          <w:szCs w:val="21"/>
          <w:highlight w:val="none"/>
        </w:rPr>
        <w:t xml:space="preserve">    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color w:val="FFFFFF"/>
          <w:sz w:val="21"/>
          <w:szCs w:val="21"/>
          <w:highlight w:val="none"/>
        </w:rPr>
        <w:t>：</w:t>
      </w:r>
      <w:r>
        <w:rPr>
          <w:rFonts w:hint="eastAsia" w:ascii="方正仿宋_GB18030" w:hAnsi="方正仿宋_GB18030" w:eastAsia="方正仿宋_GB18030" w:cs="方正仿宋_GB18030"/>
          <w:sz w:val="21"/>
          <w:szCs w:val="21"/>
          <w:highlight w:val="none"/>
          <w:u w:val="single"/>
        </w:rPr>
        <w:t xml:space="preserve">  </w:t>
      </w:r>
    </w:p>
    <w:p w14:paraId="437C767F">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项目经办人（签字）：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sz w:val="21"/>
          <w:szCs w:val="21"/>
          <w:highlight w:val="none"/>
        </w:rPr>
        <w:t xml:space="preserve">    项目经办人（签字）：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color w:val="FFFFFF"/>
          <w:sz w:val="21"/>
          <w:szCs w:val="21"/>
          <w:highlight w:val="none"/>
        </w:rPr>
        <w:t>：</w:t>
      </w:r>
    </w:p>
    <w:p w14:paraId="47CF1447">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项目经办人联系电话：</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sz w:val="21"/>
          <w:szCs w:val="21"/>
          <w:highlight w:val="none"/>
        </w:rPr>
        <w:t xml:space="preserve">   项目经办人联系电话</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color w:val="FFFFFF"/>
          <w:sz w:val="21"/>
          <w:szCs w:val="21"/>
          <w:highlight w:val="none"/>
        </w:rPr>
        <w:t>：</w:t>
      </w:r>
      <w:r>
        <w:rPr>
          <w:rFonts w:hint="eastAsia" w:ascii="方正仿宋_GB18030" w:hAnsi="方正仿宋_GB18030" w:eastAsia="方正仿宋_GB18030" w:cs="方正仿宋_GB18030"/>
          <w:sz w:val="21"/>
          <w:szCs w:val="21"/>
          <w:highlight w:val="none"/>
          <w:u w:val="single"/>
        </w:rPr>
        <w:t xml:space="preserve"> </w:t>
      </w:r>
    </w:p>
    <w:p w14:paraId="012C7AB2">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b/>
          <w:bCs/>
          <w:sz w:val="21"/>
          <w:szCs w:val="21"/>
          <w:highlight w:val="none"/>
        </w:rPr>
      </w:pPr>
      <w:r>
        <w:rPr>
          <w:rFonts w:hint="eastAsia" w:ascii="方正仿宋_GB18030" w:hAnsi="方正仿宋_GB18030" w:eastAsia="方正仿宋_GB18030" w:cs="方正仿宋_GB18030"/>
          <w:b/>
          <w:bCs/>
          <w:sz w:val="21"/>
          <w:szCs w:val="21"/>
          <w:highlight w:val="none"/>
        </w:rPr>
        <w:t>备注：项目经办人签字是指负责完成本项工作的人签署的姓名。</w:t>
      </w:r>
    </w:p>
    <w:p w14:paraId="78983622">
      <w:pPr>
        <w:pStyle w:val="160"/>
        <w:spacing w:before="319" w:after="319" w:line="460" w:lineRule="exact"/>
        <w:rPr>
          <w:rFonts w:hint="eastAsia" w:ascii="宋体" w:eastAsia="宋体" w:cs="宋体"/>
          <w:sz w:val="32"/>
          <w:szCs w:val="32"/>
        </w:rPr>
        <w:sectPr>
          <w:pgSz w:w="11906" w:h="16838"/>
          <w:pgMar w:top="1440" w:right="1803" w:bottom="1440" w:left="1803" w:header="851" w:footer="992" w:gutter="0"/>
          <w:cols w:space="0" w:num="1"/>
          <w:docGrid w:type="lines" w:linePitch="319" w:charSpace="0"/>
        </w:sectPr>
      </w:pPr>
    </w:p>
    <w:p w14:paraId="100C242C">
      <w:pPr>
        <w:pStyle w:val="160"/>
        <w:spacing w:before="319" w:after="319" w:line="460" w:lineRule="exact"/>
        <w:rPr>
          <w:rFonts w:ascii="宋体" w:eastAsia="宋体" w:cs="宋体"/>
          <w:sz w:val="32"/>
          <w:szCs w:val="32"/>
        </w:rPr>
      </w:pPr>
      <w:r>
        <w:rPr>
          <w:rFonts w:hint="eastAsia" w:ascii="宋体" w:eastAsia="宋体" w:cs="宋体"/>
          <w:sz w:val="32"/>
          <w:szCs w:val="32"/>
        </w:rPr>
        <w:t>第六章  质疑与投诉</w:t>
      </w:r>
    </w:p>
    <w:bookmarkEnd w:id="0"/>
    <w:p w14:paraId="100C242D">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一、质疑的提出</w:t>
      </w:r>
    </w:p>
    <w:p w14:paraId="100C242E">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1.质疑人必须是直接参加本次投标活动的当事人。</w:t>
      </w:r>
    </w:p>
    <w:p w14:paraId="100C242F">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2.下载招标文件的投标人应根据第二章“投标人须知”中第一条第4款的约定提出；响应文件接收截止后，投标人未进行投标登记的，不能就响应文件接收截止后的招投标过程、中标结果提出质疑；在投标过程中，凡主持人或评标小组明确提出须由投标人确认的事项，投标人当场无异议的，事后不得提出质疑。</w:t>
      </w:r>
    </w:p>
    <w:p w14:paraId="100C2430">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3.提出质疑时，必须坚持“谁主张，谁举证”“实事求是”的原则，不能臆测。属于须由法定部门调查、侦查或先行作出相关认定的事项，质疑人应当依法申请具有法定职权的部门查清、认定，并将相关结果提供给</w:t>
      </w:r>
      <w:r>
        <w:rPr>
          <w:rFonts w:hint="eastAsia" w:ascii="宋体" w:hAnsi="宋体" w:cs="宋体"/>
          <w:sz w:val="24"/>
          <w:szCs w:val="24"/>
          <w:lang w:eastAsia="zh-CN"/>
        </w:rPr>
        <w:t>招标人</w:t>
      </w:r>
      <w:r>
        <w:rPr>
          <w:rFonts w:hint="eastAsia" w:ascii="宋体" w:hAnsi="宋体" w:cs="宋体"/>
          <w:sz w:val="24"/>
          <w:szCs w:val="24"/>
        </w:rPr>
        <w:t>或代理机构。</w:t>
      </w:r>
      <w:r>
        <w:rPr>
          <w:rFonts w:hint="eastAsia" w:ascii="宋体" w:hAnsi="宋体" w:cs="宋体"/>
          <w:sz w:val="24"/>
          <w:szCs w:val="24"/>
          <w:lang w:eastAsia="zh-CN"/>
        </w:rPr>
        <w:t>招标人</w:t>
      </w:r>
      <w:r>
        <w:rPr>
          <w:rFonts w:hint="eastAsia" w:ascii="宋体" w:hAnsi="宋体" w:cs="宋体"/>
          <w:sz w:val="24"/>
          <w:szCs w:val="24"/>
        </w:rPr>
        <w:t>或代理机构不具有法定调查、认定权限。</w:t>
      </w:r>
    </w:p>
    <w:p w14:paraId="100C2431">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4.对本次招标有质疑的，实行实名制，不得进行虚假、恶意质疑。质疑人应在质疑有效期内以书面形式提出《质疑函》（格式请下载），《质疑函》内容应包括质疑事项、主要内容、事实依据、适应法规条款、佐证材料等。同时，质疑人应保证其提出的质疑内容及相关佐证材料的真实性及来源的合法性，并承担相应的法律责任。</w:t>
      </w:r>
    </w:p>
    <w:p w14:paraId="100C2432">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对不能提供相关佐证材料的、涉及商业秘密的、非书面形式的、非送达的、匿名的《质疑函》将不予受理。</w:t>
      </w:r>
    </w:p>
    <w:p w14:paraId="100C2433">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相关佐证材料要具备客观性、关联性、合法性，无法查实的（如宣传册、媒体报道、猜测、推理等）不能作为佐证材料。</w:t>
      </w:r>
    </w:p>
    <w:p w14:paraId="100C2434">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lang w:eastAsia="zh-CN"/>
        </w:rPr>
        <w:t>招标人</w:t>
      </w:r>
      <w:r>
        <w:rPr>
          <w:rFonts w:hint="eastAsia" w:ascii="宋体" w:hAnsi="宋体" w:cs="宋体"/>
          <w:sz w:val="24"/>
          <w:szCs w:val="24"/>
        </w:rPr>
        <w:t>或代理机构不负责搜集相关佐证材料等工作。</w:t>
      </w:r>
    </w:p>
    <w:p w14:paraId="100C2435">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二、《质疑函》的受理和回复</w:t>
      </w:r>
    </w:p>
    <w:p w14:paraId="100C2436">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1.《质疑函》须由质疑人的法定代表人或参加本次投标授权人送达</w:t>
      </w:r>
      <w:r>
        <w:rPr>
          <w:rFonts w:hint="eastAsia" w:ascii="宋体" w:hAnsi="宋体" w:cs="宋体"/>
          <w:sz w:val="24"/>
          <w:szCs w:val="24"/>
          <w:lang w:eastAsia="zh-CN"/>
        </w:rPr>
        <w:t>招标人</w:t>
      </w:r>
      <w:r>
        <w:rPr>
          <w:rFonts w:hint="eastAsia" w:ascii="宋体" w:hAnsi="宋体" w:cs="宋体"/>
          <w:sz w:val="24"/>
          <w:szCs w:val="24"/>
        </w:rPr>
        <w:t>和代理机构。</w:t>
      </w:r>
    </w:p>
    <w:p w14:paraId="100C2437">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2.对符合提出质疑要求的，</w:t>
      </w:r>
      <w:r>
        <w:rPr>
          <w:rFonts w:hint="eastAsia" w:ascii="宋体" w:hAnsi="宋体" w:cs="宋体"/>
          <w:sz w:val="24"/>
          <w:szCs w:val="24"/>
          <w:lang w:eastAsia="zh-CN"/>
        </w:rPr>
        <w:t>招标人</w:t>
      </w:r>
      <w:r>
        <w:rPr>
          <w:rFonts w:hint="eastAsia" w:ascii="宋体" w:hAnsi="宋体" w:cs="宋体"/>
          <w:sz w:val="24"/>
          <w:szCs w:val="24"/>
        </w:rPr>
        <w:t>、代理机构签收并出具《质疑受理通知书》。在处理过程中，发现需要质疑人进一步补充相关佐证材料的，请质疑人在规定的时间内提供，质疑回复时间相应顺延。质疑人不能按时提供相关佐证材料的，视同放弃质疑。</w:t>
      </w:r>
    </w:p>
    <w:p w14:paraId="100C2438">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3.对不符合提出质疑要求的，出具《质疑退回通知书》并提出相关补充材料要求，质疑人未在规定的时间内提供补充佐证材料的，视同放弃质疑。</w:t>
      </w:r>
    </w:p>
    <w:p w14:paraId="100C2439">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eastAsia="zh-CN"/>
        </w:rPr>
        <w:t>招标人</w:t>
      </w:r>
      <w:r>
        <w:rPr>
          <w:rFonts w:hint="eastAsia" w:ascii="宋体" w:hAnsi="宋体" w:cs="宋体"/>
          <w:sz w:val="24"/>
          <w:szCs w:val="24"/>
        </w:rPr>
        <w:t>、代理机构负责将质疑人提出的质疑相关材料提供给相关专家或评标小组审核，并将审核意见回复质疑人。</w:t>
      </w:r>
    </w:p>
    <w:p w14:paraId="100C243A">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必要时，可向被质疑人转发《质疑函》及相关佐证材料。被质疑人应当在要求的时间内，以书面形式作出说明，并提交相关证据。被质疑人在规定时间内，无正当理由未提交相关证据的，视同放弃说明权利，认可被质疑事项。</w:t>
      </w:r>
    </w:p>
    <w:p w14:paraId="100C243B">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5.因质疑情况复杂，组织论证或审查时间较长的，</w:t>
      </w:r>
      <w:r>
        <w:rPr>
          <w:rFonts w:hint="eastAsia" w:ascii="宋体" w:hAnsi="宋体" w:cs="宋体"/>
          <w:sz w:val="24"/>
          <w:szCs w:val="24"/>
          <w:lang w:eastAsia="zh-CN"/>
        </w:rPr>
        <w:t>招标人</w:t>
      </w:r>
      <w:r>
        <w:rPr>
          <w:rFonts w:hint="eastAsia" w:ascii="宋体" w:hAnsi="宋体" w:cs="宋体"/>
          <w:sz w:val="24"/>
          <w:szCs w:val="24"/>
        </w:rPr>
        <w:t>、代理机构以书面形式通知质疑人，可适当延长质疑回复处理时间。</w:t>
      </w:r>
    </w:p>
    <w:p w14:paraId="100C243C">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①质疑成立的处理。</w:t>
      </w:r>
      <w:r>
        <w:rPr>
          <w:rFonts w:hint="eastAsia" w:ascii="宋体" w:hAnsi="宋体" w:cs="宋体"/>
          <w:sz w:val="24"/>
          <w:szCs w:val="24"/>
          <w:lang w:eastAsia="zh-CN"/>
        </w:rPr>
        <w:t>招标人</w:t>
      </w:r>
      <w:r>
        <w:rPr>
          <w:rFonts w:hint="eastAsia" w:ascii="宋体" w:hAnsi="宋体" w:cs="宋体"/>
          <w:sz w:val="24"/>
          <w:szCs w:val="24"/>
        </w:rPr>
        <w:t>或代理机构终止招标，并建议有关部门给相关当事人予以处理。</w:t>
      </w:r>
    </w:p>
    <w:p w14:paraId="100C243D">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②质疑不成立的处理。</w:t>
      </w:r>
    </w:p>
    <w:p w14:paraId="100C243E">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1）质疑人书面《申请撤回质疑函》的，不作违约处理。</w:t>
      </w:r>
    </w:p>
    <w:p w14:paraId="100C243F">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2）质疑人在规定的时间内不配合进行质疑调查处理的，按自动撤回《质疑函》处理。</w:t>
      </w:r>
    </w:p>
    <w:p w14:paraId="100C2440">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3）质疑人不按《质疑函》格式就提出质疑的，作违约处理。同时，视情列入不良投标人名单。</w:t>
      </w:r>
    </w:p>
    <w:p w14:paraId="100C2441">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4）质疑人虽提供了相关佐证材料，但不能证明其质疑成立的，</w:t>
      </w:r>
      <w:r>
        <w:rPr>
          <w:rFonts w:hint="eastAsia" w:ascii="宋体" w:hAnsi="宋体" w:cs="宋体"/>
          <w:sz w:val="24"/>
          <w:szCs w:val="24"/>
          <w:lang w:eastAsia="zh-CN"/>
        </w:rPr>
        <w:t>招标人</w:t>
      </w:r>
      <w:r>
        <w:rPr>
          <w:rFonts w:hint="eastAsia" w:ascii="宋体" w:hAnsi="宋体" w:cs="宋体"/>
          <w:sz w:val="24"/>
          <w:szCs w:val="24"/>
        </w:rPr>
        <w:t>或代理机构请质疑人补充相关佐证材料，仍不能证明其质疑成立的，作违约处理。</w:t>
      </w:r>
    </w:p>
    <w:p w14:paraId="100C2442">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5）质疑人不能提供相关佐证材料的，</w:t>
      </w:r>
      <w:r>
        <w:rPr>
          <w:rFonts w:hint="eastAsia" w:ascii="宋体" w:hAnsi="宋体" w:cs="宋体"/>
          <w:sz w:val="24"/>
          <w:szCs w:val="24"/>
          <w:lang w:eastAsia="zh-CN"/>
        </w:rPr>
        <w:t>招标人</w:t>
      </w:r>
      <w:r>
        <w:rPr>
          <w:rFonts w:hint="eastAsia" w:ascii="宋体" w:hAnsi="宋体" w:cs="宋体"/>
          <w:sz w:val="24"/>
          <w:szCs w:val="24"/>
        </w:rPr>
        <w:t>、代理机构已指出，质疑人仍然坚持提出质疑的，作违约处理。</w:t>
      </w:r>
    </w:p>
    <w:p w14:paraId="100C2443">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6）对明显有违事实的、经相关专家或评标小组认定无依据的、经其他投标人举证无依据的质疑，作违约处理，视情在</w:t>
      </w:r>
      <w:r>
        <w:rPr>
          <w:rFonts w:hint="eastAsia" w:ascii="宋体" w:hAnsi="宋体" w:cs="宋体"/>
          <w:sz w:val="24"/>
          <w:szCs w:val="24"/>
          <w:lang w:eastAsia="zh-CN"/>
        </w:rPr>
        <w:t>招标人</w:t>
      </w:r>
      <w:r>
        <w:rPr>
          <w:rFonts w:hint="eastAsia" w:ascii="宋体" w:hAnsi="宋体" w:cs="宋体"/>
          <w:sz w:val="24"/>
          <w:szCs w:val="24"/>
        </w:rPr>
        <w:t>官网媒体予以披露。</w:t>
      </w:r>
    </w:p>
    <w:p w14:paraId="100C2444">
      <w:pPr>
        <w:pageBreakBefore w:val="0"/>
        <w:widowControl w:val="0"/>
        <w:kinsoku/>
        <w:wordWrap/>
        <w:overflowPunct/>
        <w:topLinePunct w:val="0"/>
        <w:autoSpaceDE/>
        <w:autoSpaceDN/>
        <w:bidi w:val="0"/>
        <w:adjustRightInd w:val="0"/>
        <w:snapToGrid w:val="0"/>
        <w:spacing w:line="460" w:lineRule="exact"/>
        <w:ind w:firstLine="240" w:firstLineChars="100"/>
        <w:contextualSpacing/>
        <w:textAlignment w:val="auto"/>
        <w:rPr>
          <w:rFonts w:ascii="宋体" w:hAnsi="宋体" w:cs="宋体"/>
          <w:sz w:val="24"/>
          <w:szCs w:val="24"/>
        </w:rPr>
      </w:pPr>
      <w:r>
        <w:rPr>
          <w:rFonts w:hint="eastAsia" w:ascii="宋体" w:hAnsi="宋体" w:cs="宋体"/>
          <w:sz w:val="24"/>
          <w:szCs w:val="24"/>
        </w:rPr>
        <w:t>（7）质疑人承担使用虚假材料或恶意方式质疑的法律责任。</w:t>
      </w:r>
    </w:p>
    <w:p w14:paraId="100C2445">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四、无佐证材料的举报作违约处理。投标人不得进行不提供相关佐证材料（含无法查实的如宣传册、媒体报道、猜测、推理等）向有关部门的举报，否则作违约处理。</w:t>
      </w:r>
    </w:p>
    <w:p w14:paraId="100C2446">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五、投诉不成立的作违约处理。投标人进行质疑后，</w:t>
      </w:r>
      <w:r>
        <w:rPr>
          <w:rFonts w:hint="eastAsia" w:ascii="宋体" w:hAnsi="宋体" w:cs="宋体"/>
          <w:sz w:val="24"/>
          <w:szCs w:val="24"/>
          <w:lang w:eastAsia="zh-CN"/>
        </w:rPr>
        <w:t>招标人</w:t>
      </w:r>
      <w:r>
        <w:rPr>
          <w:rFonts w:hint="eastAsia" w:ascii="宋体" w:hAnsi="宋体" w:cs="宋体"/>
          <w:sz w:val="24"/>
          <w:szCs w:val="24"/>
        </w:rPr>
        <w:t>回复质疑不成立，投标人仍进行投诉的，并最终投诉不成立的，作违约处理。</w:t>
      </w:r>
    </w:p>
    <w:p w14:paraId="100C2447">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六、《质疑函》《质疑回复函》，质疑、举报、投诉不成立等相关情况，视情在</w:t>
      </w:r>
      <w:r>
        <w:rPr>
          <w:rFonts w:hint="eastAsia" w:ascii="宋体" w:hAnsi="宋体" w:cs="宋体"/>
          <w:sz w:val="24"/>
          <w:szCs w:val="24"/>
          <w:lang w:eastAsia="zh-CN"/>
        </w:rPr>
        <w:t>招标人</w:t>
      </w:r>
      <w:r>
        <w:rPr>
          <w:rFonts w:hint="eastAsia" w:ascii="宋体" w:hAnsi="宋体" w:cs="宋体"/>
          <w:sz w:val="24"/>
          <w:szCs w:val="24"/>
        </w:rPr>
        <w:t>官网等相关媒体予以披露。</w:t>
      </w:r>
    </w:p>
    <w:p w14:paraId="100C2448">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dstrike/>
          <w:sz w:val="24"/>
          <w:szCs w:val="24"/>
        </w:rPr>
      </w:pPr>
      <w:r>
        <w:rPr>
          <w:rFonts w:hint="eastAsia" w:ascii="宋体" w:hAnsi="宋体" w:cs="宋体"/>
          <w:sz w:val="24"/>
          <w:szCs w:val="24"/>
        </w:rPr>
        <w:t>七、质疑人对</w:t>
      </w:r>
      <w:r>
        <w:rPr>
          <w:rFonts w:hint="eastAsia" w:ascii="宋体" w:hAnsi="宋体" w:cs="宋体"/>
          <w:sz w:val="24"/>
          <w:szCs w:val="24"/>
          <w:lang w:eastAsia="zh-CN"/>
        </w:rPr>
        <w:t>招标人</w:t>
      </w:r>
      <w:r>
        <w:rPr>
          <w:rFonts w:hint="eastAsia" w:ascii="宋体" w:hAnsi="宋体" w:cs="宋体"/>
          <w:sz w:val="24"/>
          <w:szCs w:val="24"/>
        </w:rPr>
        <w:t>或代理机构的答复不满意或者</w:t>
      </w:r>
      <w:r>
        <w:rPr>
          <w:rFonts w:hint="eastAsia" w:ascii="宋体" w:hAnsi="宋体" w:cs="宋体"/>
          <w:sz w:val="24"/>
          <w:szCs w:val="24"/>
          <w:lang w:eastAsia="zh-CN"/>
        </w:rPr>
        <w:t>招标人</w:t>
      </w:r>
      <w:r>
        <w:rPr>
          <w:rFonts w:hint="eastAsia" w:ascii="宋体" w:hAnsi="宋体" w:cs="宋体"/>
          <w:sz w:val="24"/>
          <w:szCs w:val="24"/>
        </w:rPr>
        <w:t>、代理机构未在规定的时间内作出答复的，可以在答复期满后15个工作日内向相关监督管理部门投诉。</w:t>
      </w:r>
    </w:p>
    <w:p w14:paraId="100C2449">
      <w:pPr>
        <w:pStyle w:val="160"/>
        <w:pageBreakBefore w:val="0"/>
        <w:widowControl w:val="0"/>
        <w:kinsoku/>
        <w:wordWrap/>
        <w:overflowPunct/>
        <w:topLinePunct w:val="0"/>
        <w:autoSpaceDE/>
        <w:autoSpaceDN/>
        <w:bidi w:val="0"/>
        <w:spacing w:before="319" w:after="319" w:line="460" w:lineRule="exact"/>
        <w:textAlignment w:val="auto"/>
        <w:rPr>
          <w:rFonts w:ascii="宋体" w:eastAsia="宋体" w:cs="宋体"/>
          <w:sz w:val="40"/>
          <w:szCs w:val="40"/>
        </w:rPr>
      </w:pPr>
      <w:r>
        <w:rPr>
          <w:rFonts w:hint="eastAsia" w:ascii="宋体" w:eastAsia="宋体" w:cs="宋体"/>
          <w:b w:val="0"/>
          <w:w w:val="80"/>
          <w:sz w:val="24"/>
          <w:szCs w:val="24"/>
        </w:rPr>
        <w:br w:type="page"/>
      </w:r>
      <w:r>
        <w:rPr>
          <w:rFonts w:hint="eastAsia" w:ascii="宋体" w:eastAsia="宋体" w:cs="宋体"/>
          <w:sz w:val="32"/>
          <w:szCs w:val="32"/>
        </w:rPr>
        <w:t>第七章 投标文件组成及格式</w:t>
      </w:r>
    </w:p>
    <w:p w14:paraId="100C244A">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ascii="宋体" w:hAnsi="宋体" w:cs="宋体"/>
          <w:sz w:val="24"/>
          <w:szCs w:val="24"/>
        </w:rPr>
      </w:pPr>
      <w:r>
        <w:rPr>
          <w:rFonts w:hint="eastAsia" w:ascii="宋体" w:hAnsi="宋体" w:cs="宋体"/>
          <w:sz w:val="24"/>
          <w:szCs w:val="24"/>
        </w:rPr>
        <w:t>投标文件由资格审查文件、价格标、电子响应文件3部分组成。本次招标采用资格后审方式。</w:t>
      </w:r>
    </w:p>
    <w:p w14:paraId="100C244B">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ascii="宋体" w:hAnsi="宋体" w:cs="宋体"/>
          <w:b/>
          <w:bCs/>
          <w:spacing w:val="-6"/>
          <w:sz w:val="24"/>
          <w:szCs w:val="24"/>
        </w:rPr>
      </w:pPr>
      <w:r>
        <w:rPr>
          <w:rFonts w:hint="eastAsia" w:ascii="宋体" w:hAnsi="宋体" w:cs="宋体"/>
          <w:b/>
          <w:bCs/>
          <w:sz w:val="24"/>
          <w:szCs w:val="24"/>
        </w:rPr>
        <w:t>本项目资格审查文件、价格标</w:t>
      </w:r>
      <w:r>
        <w:rPr>
          <w:rFonts w:hint="eastAsia" w:ascii="宋体" w:hAnsi="宋体" w:cs="宋体"/>
          <w:b/>
          <w:bCs/>
          <w:spacing w:val="-6"/>
          <w:sz w:val="24"/>
          <w:szCs w:val="24"/>
        </w:rPr>
        <w:t>请分别装订、分别单独密封后一起递交。</w:t>
      </w:r>
    </w:p>
    <w:p w14:paraId="100C244C">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ascii="宋体" w:hAnsi="宋体" w:cs="宋体"/>
          <w:b/>
          <w:bCs/>
          <w:sz w:val="24"/>
          <w:szCs w:val="24"/>
        </w:rPr>
      </w:pPr>
      <w:r>
        <w:rPr>
          <w:rFonts w:hint="eastAsia" w:ascii="宋体" w:hAnsi="宋体" w:cs="宋体"/>
          <w:b/>
          <w:bCs/>
          <w:sz w:val="24"/>
          <w:szCs w:val="24"/>
        </w:rPr>
        <w:t>一、资格审查文件（无需分标段递交）</w:t>
      </w:r>
    </w:p>
    <w:p w14:paraId="100C244D">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1.营业执照副本复印件加盖公章；</w:t>
      </w:r>
    </w:p>
    <w:p w14:paraId="100C244E">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2.符合投标人资格要求的承诺函（格式参见附件）；</w:t>
      </w:r>
    </w:p>
    <w:p w14:paraId="100C244F">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3.关于资格文件的声明函（格式参见附件）；</w:t>
      </w:r>
    </w:p>
    <w:p w14:paraId="100C2450">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4.投标响应函（格式参见附件）；</w:t>
      </w:r>
    </w:p>
    <w:p w14:paraId="100C2451">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5.食品安全承诺函（格式参见附件）；</w:t>
      </w:r>
    </w:p>
    <w:p w14:paraId="100C2453">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6.参加采购活动前3年内在经营活动中没有重大违法记录的书面声明（格式参见附件）；</w:t>
      </w:r>
    </w:p>
    <w:p w14:paraId="100C2454">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提供法定代表人身份证明（格式参见附件）及法定代表人本人身份证两项复印件；非法定代表人参加投标的，还必须提供法定代表人签名或盖章的授权委托书（格式参见附件）及法定代表人和委托代理人（以下称被授权人）两个人的身份证复印件。</w:t>
      </w:r>
    </w:p>
    <w:p w14:paraId="18BDDAAC">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pacing w:val="7"/>
          <w:sz w:val="24"/>
          <w:szCs w:val="24"/>
          <w:lang w:val="zh-CN"/>
        </w:rPr>
      </w:pPr>
      <w:r>
        <w:rPr>
          <w:rFonts w:hint="eastAsia" w:ascii="宋体" w:hAnsi="宋体" w:cs="宋体"/>
          <w:sz w:val="24"/>
          <w:szCs w:val="24"/>
          <w:lang w:val="en-US" w:eastAsia="zh-CN"/>
        </w:rPr>
        <w:t>8.</w:t>
      </w:r>
      <w:r>
        <w:rPr>
          <w:rFonts w:hint="eastAsia" w:ascii="宋体" w:hAnsi="宋体" w:cs="宋体"/>
          <w:spacing w:val="7"/>
          <w:sz w:val="24"/>
          <w:szCs w:val="24"/>
          <w:lang w:val="zh-CN"/>
        </w:rPr>
        <w:t>供应商是生产厂商的，</w:t>
      </w:r>
      <w:r>
        <w:rPr>
          <w:rFonts w:hint="eastAsia" w:ascii="宋体" w:hAnsi="宋体" w:cs="宋体"/>
          <w:spacing w:val="7"/>
          <w:sz w:val="24"/>
          <w:szCs w:val="24"/>
          <w:lang w:val="en-US" w:eastAsia="zh-CN"/>
        </w:rPr>
        <w:t>提供</w:t>
      </w:r>
      <w:r>
        <w:rPr>
          <w:rFonts w:hint="eastAsia" w:ascii="宋体" w:hAnsi="宋体" w:cs="宋体"/>
          <w:spacing w:val="7"/>
          <w:sz w:val="24"/>
          <w:szCs w:val="24"/>
          <w:lang w:val="zh-CN"/>
        </w:rPr>
        <w:t>有效的食品生产许可证；供应商是销售商的，</w:t>
      </w:r>
      <w:r>
        <w:rPr>
          <w:rFonts w:hint="eastAsia" w:ascii="宋体" w:hAnsi="宋体" w:cs="宋体"/>
          <w:spacing w:val="7"/>
          <w:sz w:val="24"/>
          <w:szCs w:val="24"/>
          <w:lang w:val="en-US" w:eastAsia="zh-CN"/>
        </w:rPr>
        <w:t>提供</w:t>
      </w:r>
      <w:r>
        <w:rPr>
          <w:rFonts w:hint="eastAsia" w:ascii="宋体" w:hAnsi="宋体" w:cs="宋体"/>
          <w:spacing w:val="7"/>
          <w:sz w:val="24"/>
          <w:szCs w:val="24"/>
          <w:lang w:val="zh-CN"/>
        </w:rPr>
        <w:t>有效的食品经营许可证或在市场监督管理局备案的预包装食品销售备案证明；</w:t>
      </w:r>
    </w:p>
    <w:p w14:paraId="14C73322">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9.</w:t>
      </w:r>
      <w:r>
        <w:rPr>
          <w:rFonts w:hint="eastAsia" w:ascii="宋体" w:hAnsi="宋体" w:cs="宋体"/>
          <w:spacing w:val="7"/>
          <w:sz w:val="24"/>
          <w:szCs w:val="24"/>
          <w:lang w:val="zh-CN"/>
        </w:rPr>
        <w:t>供应商必须在南通市范围内（含市辖区、县）有固定的经营场所（含办公和配送、仓储场所等）；或</w:t>
      </w:r>
      <w:r>
        <w:rPr>
          <w:rFonts w:hint="eastAsia" w:ascii="宋体" w:hAnsi="宋体" w:cs="宋体"/>
          <w:spacing w:val="7"/>
          <w:sz w:val="24"/>
          <w:szCs w:val="24"/>
          <w:lang w:val="en-US" w:eastAsia="zh-CN"/>
        </w:rPr>
        <w:t>具备</w:t>
      </w:r>
      <w:r>
        <w:rPr>
          <w:rFonts w:hint="eastAsia" w:ascii="宋体" w:hAnsi="宋体" w:cs="宋体"/>
          <w:spacing w:val="7"/>
          <w:sz w:val="24"/>
          <w:szCs w:val="24"/>
          <w:lang w:val="zh-CN"/>
        </w:rPr>
        <w:t>到达我校路程在</w:t>
      </w:r>
      <w:r>
        <w:rPr>
          <w:rFonts w:hint="eastAsia" w:ascii="宋体" w:hAnsi="宋体" w:cs="宋体"/>
          <w:spacing w:val="7"/>
          <w:sz w:val="24"/>
          <w:szCs w:val="24"/>
        </w:rPr>
        <w:t>2小时内的经营场所及仓储（提供导航地图截图）。</w:t>
      </w:r>
      <w:r>
        <w:rPr>
          <w:rFonts w:hint="eastAsia" w:ascii="宋体" w:hAnsi="宋体" w:cs="宋体"/>
          <w:spacing w:val="7"/>
          <w:sz w:val="24"/>
          <w:szCs w:val="24"/>
          <w:lang w:val="zh-CN"/>
        </w:rPr>
        <w:t>提供有固定办公、仓储场所相关证明资料（提供经营、办公和仓储等场所的产权或权属证明及照片，租赁场所还需同时提供租赁合同）；</w:t>
      </w:r>
    </w:p>
    <w:p w14:paraId="2A7387F4">
      <w:pPr>
        <w:keepNext w:val="0"/>
        <w:keepLines w:val="0"/>
        <w:pageBreakBefore w:val="0"/>
        <w:kinsoku/>
        <w:wordWrap/>
        <w:overflowPunct/>
        <w:topLinePunct w:val="0"/>
        <w:autoSpaceDE/>
        <w:autoSpaceDN/>
        <w:bidi w:val="0"/>
        <w:adjustRightInd w:val="0"/>
        <w:snapToGrid w:val="0"/>
        <w:spacing w:line="460" w:lineRule="exact"/>
        <w:ind w:firstLine="497" w:firstLineChars="196"/>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10.投标承诺</w:t>
      </w:r>
      <w:r>
        <w:rPr>
          <w:rFonts w:hint="eastAsia" w:ascii="宋体" w:hAnsi="宋体" w:cs="宋体"/>
          <w:b/>
          <w:bCs/>
          <w:spacing w:val="7"/>
          <w:sz w:val="24"/>
          <w:szCs w:val="24"/>
          <w:lang w:val="en-US" w:eastAsia="zh-CN"/>
        </w:rPr>
        <w:t>（格式见附件）</w:t>
      </w:r>
      <w:r>
        <w:rPr>
          <w:rFonts w:hint="eastAsia" w:ascii="宋体" w:hAnsi="宋体" w:cs="宋体"/>
          <w:spacing w:val="7"/>
          <w:sz w:val="24"/>
          <w:szCs w:val="24"/>
          <w:lang w:val="en-US" w:eastAsia="zh-CN"/>
        </w:rPr>
        <w:t>：</w:t>
      </w:r>
    </w:p>
    <w:p w14:paraId="4B761530">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hint="eastAsia" w:ascii="宋体" w:hAnsi="宋体" w:cs="宋体"/>
          <w:spacing w:val="7"/>
          <w:sz w:val="24"/>
          <w:szCs w:val="24"/>
          <w:lang w:val="zh-CN"/>
        </w:rPr>
      </w:pPr>
      <w:r>
        <w:rPr>
          <w:rFonts w:hint="eastAsia" w:ascii="宋体" w:hAnsi="宋体" w:cs="宋体"/>
          <w:b/>
          <w:bCs/>
          <w:sz w:val="24"/>
          <w:szCs w:val="24"/>
          <w:lang w:val="en-US" w:eastAsia="zh-CN"/>
        </w:rPr>
        <w:t>10.1</w:t>
      </w:r>
      <w:r>
        <w:rPr>
          <w:rFonts w:hint="eastAsia" w:ascii="宋体" w:hAnsi="宋体" w:cs="宋体"/>
          <w:spacing w:val="7"/>
          <w:sz w:val="24"/>
          <w:szCs w:val="24"/>
          <w:lang w:val="zh-CN"/>
        </w:rPr>
        <w:t>供应商中标后不得将中标项目分包或者转让给其他主体实施（所有配送人员都必须是本单位员工，在</w:t>
      </w:r>
      <w:r>
        <w:rPr>
          <w:rFonts w:hint="eastAsia" w:ascii="宋体" w:hAnsi="宋体" w:cs="宋体"/>
          <w:spacing w:val="7"/>
          <w:sz w:val="24"/>
          <w:szCs w:val="24"/>
          <w:lang w:val="en-US" w:eastAsia="zh-CN"/>
        </w:rPr>
        <w:t>中标</w:t>
      </w:r>
      <w:r>
        <w:rPr>
          <w:rFonts w:hint="eastAsia" w:ascii="宋体" w:hAnsi="宋体" w:cs="宋体"/>
          <w:spacing w:val="7"/>
          <w:sz w:val="24"/>
          <w:szCs w:val="24"/>
          <w:lang w:val="zh-CN"/>
        </w:rPr>
        <w:t>服务期内，未经采购方许可，不得更换）；</w:t>
      </w:r>
    </w:p>
    <w:p w14:paraId="379F7ACD">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10.2</w:t>
      </w:r>
      <w:r>
        <w:rPr>
          <w:rFonts w:hint="eastAsia" w:ascii="宋体" w:hAnsi="宋体" w:cs="宋体"/>
          <w:spacing w:val="7"/>
          <w:sz w:val="24"/>
          <w:szCs w:val="24"/>
        </w:rPr>
        <w:t>供货商必须承诺非南通师范高等专科学校职工（包括直系亲属）参与经营；</w:t>
      </w:r>
    </w:p>
    <w:p w14:paraId="3D3AE558">
      <w:pPr>
        <w:keepNext w:val="0"/>
        <w:keepLines w:val="0"/>
        <w:pageBreakBefore w:val="0"/>
        <w:kinsoku/>
        <w:wordWrap/>
        <w:overflowPunct/>
        <w:topLinePunct w:val="0"/>
        <w:autoSpaceDE/>
        <w:autoSpaceDN/>
        <w:bidi w:val="0"/>
        <w:adjustRightInd w:val="0"/>
        <w:snapToGrid w:val="0"/>
        <w:spacing w:line="460" w:lineRule="exact"/>
        <w:ind w:firstLine="497" w:firstLineChars="196"/>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10.3</w:t>
      </w:r>
      <w:r>
        <w:rPr>
          <w:rFonts w:hint="eastAsia" w:ascii="宋体" w:hAnsi="宋体" w:cs="宋体"/>
          <w:spacing w:val="7"/>
          <w:sz w:val="24"/>
          <w:szCs w:val="24"/>
          <w:lang w:val="zh-CN" w:eastAsia="zh-CN"/>
        </w:rPr>
        <w:t>我校食堂承包服务商及关联企业不得参与投标；</w:t>
      </w:r>
    </w:p>
    <w:p w14:paraId="46AA27D1">
      <w:pPr>
        <w:keepNext w:val="0"/>
        <w:keepLines w:val="0"/>
        <w:pageBreakBefore w:val="0"/>
        <w:kinsoku/>
        <w:wordWrap/>
        <w:overflowPunct/>
        <w:topLinePunct w:val="0"/>
        <w:autoSpaceDE/>
        <w:autoSpaceDN/>
        <w:bidi w:val="0"/>
        <w:adjustRightInd w:val="0"/>
        <w:snapToGrid w:val="0"/>
        <w:spacing w:line="460" w:lineRule="exact"/>
        <w:ind w:firstLine="497" w:firstLineChars="196"/>
        <w:textAlignment w:val="auto"/>
        <w:rPr>
          <w:rFonts w:hint="default" w:ascii="宋体" w:hAnsi="宋体" w:eastAsia="宋体" w:cs="宋体"/>
          <w:spacing w:val="7"/>
          <w:sz w:val="24"/>
          <w:szCs w:val="24"/>
          <w:lang w:val="en-US" w:eastAsia="zh-CN"/>
        </w:rPr>
      </w:pPr>
      <w:r>
        <w:rPr>
          <w:rFonts w:hint="eastAsia" w:ascii="宋体" w:hAnsi="宋体" w:cs="宋体"/>
          <w:spacing w:val="7"/>
          <w:sz w:val="24"/>
          <w:szCs w:val="24"/>
          <w:lang w:val="en-US" w:eastAsia="zh-CN"/>
        </w:rPr>
        <w:t>10.4</w:t>
      </w:r>
      <w:r>
        <w:rPr>
          <w:rFonts w:hint="eastAsia" w:ascii="宋体" w:hAnsi="宋体" w:cs="宋体"/>
          <w:spacing w:val="7"/>
          <w:sz w:val="24"/>
          <w:szCs w:val="24"/>
          <w:lang w:val="zh-CN" w:eastAsia="zh-CN"/>
        </w:rPr>
        <w:t>法定代表人为同一个人的两个及两个以上法人，母公司、全资子公司及其控股公司，都不得在同一采购项目相同标段中同时</w:t>
      </w:r>
      <w:r>
        <w:rPr>
          <w:rFonts w:hint="eastAsia" w:ascii="宋体" w:hAnsi="宋体" w:cs="宋体"/>
          <w:spacing w:val="7"/>
          <w:sz w:val="24"/>
          <w:szCs w:val="24"/>
          <w:lang w:val="en-US" w:eastAsia="zh-CN"/>
        </w:rPr>
        <w:t>参加投标</w:t>
      </w:r>
      <w:r>
        <w:rPr>
          <w:rFonts w:hint="eastAsia" w:ascii="宋体" w:hAnsi="宋体" w:cs="宋体"/>
          <w:spacing w:val="7"/>
          <w:sz w:val="24"/>
          <w:szCs w:val="24"/>
          <w:lang w:val="zh-CN" w:eastAsia="zh-CN"/>
        </w:rPr>
        <w:t>，一经发现，将视同围标处理。</w:t>
      </w:r>
    </w:p>
    <w:p w14:paraId="100C245B">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ascii="宋体" w:hAnsi="宋体" w:cs="宋体"/>
          <w:b/>
          <w:bCs/>
          <w:sz w:val="24"/>
          <w:szCs w:val="24"/>
        </w:rPr>
      </w:pPr>
      <w:r>
        <w:rPr>
          <w:rFonts w:hint="eastAsia" w:ascii="宋体" w:hAnsi="宋体" w:cs="宋体"/>
          <w:b/>
          <w:bCs/>
          <w:sz w:val="24"/>
          <w:szCs w:val="24"/>
        </w:rPr>
        <w:t>以上材料如为复印件均需加盖投标单位公章。</w:t>
      </w:r>
    </w:p>
    <w:p w14:paraId="100C245C">
      <w:pPr>
        <w:pStyle w:val="187"/>
        <w:keepNext w:val="0"/>
        <w:keepLines w:val="0"/>
        <w:pageBreakBefore w:val="0"/>
        <w:kinsoku/>
        <w:wordWrap/>
        <w:overflowPunct/>
        <w:topLinePunct w:val="0"/>
        <w:autoSpaceDE/>
        <w:autoSpaceDN/>
        <w:bidi w:val="0"/>
        <w:spacing w:line="460" w:lineRule="exact"/>
        <w:ind w:firstLine="481"/>
        <w:textAlignment w:val="auto"/>
        <w:rPr>
          <w:rFonts w:ascii="宋体" w:hAnsi="宋体" w:cs="宋体"/>
          <w:b/>
          <w:bCs/>
          <w:sz w:val="24"/>
          <w:szCs w:val="24"/>
        </w:rPr>
      </w:pPr>
      <w:r>
        <w:rPr>
          <w:rFonts w:hint="eastAsia" w:ascii="宋体" w:hAnsi="宋体" w:cs="宋体"/>
          <w:b/>
          <w:bCs/>
          <w:sz w:val="24"/>
          <w:szCs w:val="24"/>
        </w:rPr>
        <w:t>二、价格标（</w:t>
      </w:r>
      <w:r>
        <w:rPr>
          <w:rFonts w:hint="eastAsia" w:ascii="宋体" w:hAnsi="宋体" w:cs="宋体"/>
          <w:b/>
          <w:bCs/>
          <w:sz w:val="24"/>
          <w:szCs w:val="24"/>
          <w:lang w:val="en-US" w:eastAsia="zh-CN"/>
        </w:rPr>
        <w:t>无</w:t>
      </w:r>
      <w:r>
        <w:rPr>
          <w:rFonts w:hint="eastAsia" w:ascii="宋体" w:hAnsi="宋体" w:cs="宋体"/>
          <w:b/>
          <w:bCs/>
          <w:sz w:val="24"/>
          <w:szCs w:val="24"/>
        </w:rPr>
        <w:t>需分标段递交）</w:t>
      </w:r>
    </w:p>
    <w:p w14:paraId="100C245D">
      <w:pPr>
        <w:keepNext w:val="0"/>
        <w:keepLines w:val="0"/>
        <w:pageBreakBefore w:val="0"/>
        <w:kinsoku/>
        <w:wordWrap/>
        <w:overflowPunct/>
        <w:topLinePunct w:val="0"/>
        <w:autoSpaceDE/>
        <w:autoSpaceDN/>
        <w:bidi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1.报价单（格式参见附件）；</w:t>
      </w:r>
    </w:p>
    <w:p w14:paraId="100C245E">
      <w:pPr>
        <w:keepNext w:val="0"/>
        <w:keepLines w:val="0"/>
        <w:pageBreakBefore w:val="0"/>
        <w:kinsoku/>
        <w:wordWrap/>
        <w:overflowPunct/>
        <w:topLinePunct w:val="0"/>
        <w:autoSpaceDE/>
        <w:autoSpaceDN/>
        <w:bidi w:val="0"/>
        <w:adjustRightInd w:val="0"/>
        <w:snapToGrid w:val="0"/>
        <w:spacing w:line="460" w:lineRule="exact"/>
        <w:ind w:firstLine="482" w:firstLineChars="200"/>
        <w:textAlignment w:val="auto"/>
        <w:outlineLvl w:val="1"/>
        <w:rPr>
          <w:rFonts w:ascii="宋体" w:hAnsi="宋体" w:cs="宋体"/>
          <w:kern w:val="0"/>
          <w:sz w:val="24"/>
          <w:szCs w:val="24"/>
        </w:rPr>
      </w:pPr>
      <w:r>
        <w:rPr>
          <w:rFonts w:hint="eastAsia" w:ascii="宋体" w:hAnsi="宋体" w:cs="宋体"/>
          <w:b/>
          <w:bCs/>
          <w:kern w:val="0"/>
          <w:sz w:val="24"/>
          <w:szCs w:val="24"/>
        </w:rPr>
        <w:t>三、电子响应文件（一份）</w:t>
      </w:r>
    </w:p>
    <w:p w14:paraId="100C245F">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kern w:val="0"/>
          <w:sz w:val="24"/>
          <w:szCs w:val="24"/>
        </w:rPr>
        <w:t>电子响应文件的内容为“资格审查文件、价格标”的打印盖章后的响应文件的扫描件（资格审查文件、价格标需分别逐页连续扫描为2个独立的PDF文件）。</w:t>
      </w:r>
    </w:p>
    <w:p w14:paraId="100C2460">
      <w:pPr>
        <w:spacing w:line="460" w:lineRule="exact"/>
        <w:rPr>
          <w:rFonts w:ascii="宋体" w:hAnsi="宋体" w:cs="宋体"/>
          <w:sz w:val="36"/>
          <w:szCs w:val="36"/>
        </w:rPr>
      </w:pPr>
    </w:p>
    <w:p w14:paraId="100C2461">
      <w:pPr>
        <w:spacing w:line="460" w:lineRule="exact"/>
        <w:rPr>
          <w:rFonts w:ascii="宋体" w:hAnsi="宋体" w:cs="宋体"/>
          <w:sz w:val="36"/>
          <w:szCs w:val="36"/>
        </w:rPr>
      </w:pPr>
    </w:p>
    <w:p w14:paraId="100C2462">
      <w:pPr>
        <w:rPr>
          <w:rFonts w:ascii="宋体" w:hAnsi="宋体" w:cs="宋体"/>
          <w:sz w:val="36"/>
          <w:szCs w:val="36"/>
        </w:rPr>
      </w:pPr>
    </w:p>
    <w:p w14:paraId="100C2463">
      <w:pPr>
        <w:rPr>
          <w:rFonts w:ascii="宋体" w:hAnsi="宋体" w:cs="宋体"/>
          <w:sz w:val="36"/>
          <w:szCs w:val="36"/>
        </w:rPr>
      </w:pPr>
      <w:r>
        <w:rPr>
          <w:rFonts w:hint="eastAsia" w:ascii="宋体" w:hAnsi="宋体" w:cs="宋体"/>
          <w:sz w:val="36"/>
          <w:szCs w:val="36"/>
        </w:rPr>
        <w:br w:type="page"/>
      </w:r>
    </w:p>
    <w:p w14:paraId="100C2464">
      <w:pPr>
        <w:rPr>
          <w:rFonts w:ascii="宋体" w:hAnsi="宋体" w:cs="宋体"/>
          <w:sz w:val="28"/>
          <w:szCs w:val="28"/>
        </w:rPr>
      </w:pPr>
      <w:r>
        <w:rPr>
          <w:rFonts w:hint="eastAsia" w:ascii="宋体" w:hAnsi="宋体" w:cs="宋体"/>
          <w:sz w:val="36"/>
          <w:szCs w:val="36"/>
        </w:rPr>
        <w:t>附件：</w:t>
      </w:r>
    </w:p>
    <w:p w14:paraId="100C2465">
      <w:pPr>
        <w:spacing w:line="460" w:lineRule="exact"/>
        <w:jc w:val="center"/>
        <w:rPr>
          <w:rFonts w:ascii="宋体" w:hAnsi="宋体" w:cs="宋体"/>
          <w:b/>
          <w:bCs/>
          <w:sz w:val="32"/>
          <w:szCs w:val="32"/>
        </w:rPr>
      </w:pPr>
      <w:r>
        <w:rPr>
          <w:rFonts w:hint="eastAsia" w:ascii="宋体" w:hAnsi="宋体" w:cs="宋体"/>
          <w:b/>
          <w:bCs/>
          <w:sz w:val="32"/>
          <w:szCs w:val="32"/>
        </w:rPr>
        <w:t>项目名称：</w:t>
      </w:r>
    </w:p>
    <w:p w14:paraId="100C2466">
      <w:pPr>
        <w:spacing w:line="460" w:lineRule="exact"/>
        <w:jc w:val="center"/>
        <w:rPr>
          <w:rFonts w:ascii="宋体" w:hAnsi="宋体" w:cs="宋体"/>
          <w:b/>
          <w:bCs/>
          <w:sz w:val="36"/>
          <w:szCs w:val="36"/>
        </w:rPr>
      </w:pPr>
      <w:r>
        <w:rPr>
          <w:rFonts w:hint="eastAsia" w:ascii="宋体" w:hAnsi="宋体" w:cs="宋体"/>
          <w:sz w:val="32"/>
          <w:szCs w:val="32"/>
        </w:rPr>
        <w:t>项目编号：</w:t>
      </w:r>
    </w:p>
    <w:p w14:paraId="100C2467">
      <w:pPr>
        <w:spacing w:line="460" w:lineRule="exact"/>
        <w:ind w:firstLine="3200" w:firstLineChars="1000"/>
        <w:rPr>
          <w:rFonts w:ascii="宋体" w:hAnsi="宋体" w:cs="宋体"/>
          <w:sz w:val="32"/>
          <w:szCs w:val="32"/>
        </w:rPr>
      </w:pPr>
    </w:p>
    <w:p w14:paraId="100C2468">
      <w:pPr>
        <w:spacing w:line="460" w:lineRule="exact"/>
        <w:rPr>
          <w:rFonts w:ascii="宋体" w:hAnsi="宋体" w:cs="宋体"/>
          <w:sz w:val="40"/>
          <w:szCs w:val="40"/>
        </w:rPr>
      </w:pPr>
    </w:p>
    <w:p w14:paraId="100C2469">
      <w:pPr>
        <w:spacing w:line="1040" w:lineRule="exact"/>
        <w:rPr>
          <w:rFonts w:ascii="宋体" w:hAnsi="宋体" w:cs="宋体"/>
          <w:sz w:val="40"/>
          <w:szCs w:val="40"/>
        </w:rPr>
      </w:pPr>
    </w:p>
    <w:p w14:paraId="100C246A">
      <w:pPr>
        <w:spacing w:line="1040" w:lineRule="exact"/>
        <w:jc w:val="center"/>
        <w:rPr>
          <w:rFonts w:ascii="宋体" w:hAnsi="宋体" w:cs="宋体"/>
          <w:b/>
          <w:bCs/>
          <w:sz w:val="96"/>
          <w:szCs w:val="96"/>
        </w:rPr>
      </w:pPr>
      <w:r>
        <w:rPr>
          <w:rFonts w:hint="eastAsia" w:ascii="宋体" w:hAnsi="宋体" w:cs="宋体"/>
          <w:b/>
          <w:bCs/>
          <w:sz w:val="96"/>
          <w:szCs w:val="96"/>
        </w:rPr>
        <w:t>投标文件</w:t>
      </w:r>
    </w:p>
    <w:p w14:paraId="100C246B">
      <w:pPr>
        <w:spacing w:line="620" w:lineRule="exact"/>
        <w:rPr>
          <w:rFonts w:ascii="宋体" w:hAnsi="宋体" w:cs="宋体"/>
          <w:sz w:val="32"/>
          <w:szCs w:val="32"/>
        </w:rPr>
      </w:pPr>
    </w:p>
    <w:p w14:paraId="100C246C">
      <w:pPr>
        <w:spacing w:line="620" w:lineRule="exact"/>
        <w:ind w:firstLine="2560" w:firstLineChars="800"/>
        <w:rPr>
          <w:rFonts w:ascii="宋体" w:hAnsi="宋体" w:cs="宋体"/>
          <w:sz w:val="32"/>
          <w:szCs w:val="32"/>
        </w:rPr>
      </w:pPr>
      <w:r>
        <w:rPr>
          <w:rFonts w:hint="eastAsia" w:ascii="宋体" w:hAnsi="宋体" w:cs="宋体"/>
          <w:sz w:val="32"/>
          <w:szCs w:val="32"/>
        </w:rPr>
        <w:t>对应投标文件填写：资格审查文件</w:t>
      </w:r>
    </w:p>
    <w:p w14:paraId="100C246D">
      <w:pPr>
        <w:spacing w:line="620" w:lineRule="exact"/>
        <w:ind w:firstLine="2560" w:firstLineChars="800"/>
        <w:rPr>
          <w:rFonts w:ascii="宋体" w:hAnsi="宋体" w:cs="宋体"/>
          <w:sz w:val="32"/>
          <w:szCs w:val="32"/>
        </w:rPr>
      </w:pPr>
      <w:r>
        <w:rPr>
          <w:rFonts w:hint="eastAsia" w:ascii="宋体" w:hAnsi="宋体" w:cs="宋体"/>
          <w:sz w:val="32"/>
          <w:szCs w:val="32"/>
        </w:rPr>
        <w:t>对应投标文件填写：价格标</w:t>
      </w:r>
    </w:p>
    <w:p w14:paraId="100C246E">
      <w:pPr>
        <w:spacing w:line="620" w:lineRule="exact"/>
        <w:ind w:firstLine="2560" w:firstLineChars="800"/>
        <w:rPr>
          <w:rFonts w:ascii="宋体" w:hAnsi="宋体" w:cs="宋体"/>
          <w:sz w:val="32"/>
          <w:szCs w:val="32"/>
        </w:rPr>
      </w:pPr>
      <w:r>
        <w:rPr>
          <w:rFonts w:hint="eastAsia" w:ascii="宋体" w:hAnsi="宋体" w:cs="宋体"/>
          <w:sz w:val="32"/>
          <w:szCs w:val="32"/>
        </w:rPr>
        <w:t>所投标段号：2/5/7</w:t>
      </w:r>
    </w:p>
    <w:p w14:paraId="100C246F">
      <w:pPr>
        <w:spacing w:line="620" w:lineRule="exact"/>
        <w:jc w:val="center"/>
        <w:rPr>
          <w:rFonts w:ascii="宋体" w:hAnsi="宋体" w:cs="宋体"/>
          <w:b/>
          <w:bCs/>
          <w:sz w:val="48"/>
          <w:szCs w:val="48"/>
        </w:rPr>
      </w:pPr>
    </w:p>
    <w:p w14:paraId="100C2470">
      <w:pPr>
        <w:spacing w:line="620" w:lineRule="exact"/>
        <w:jc w:val="center"/>
        <w:rPr>
          <w:rFonts w:ascii="宋体" w:hAnsi="宋体" w:cs="宋体"/>
          <w:b/>
          <w:bCs/>
          <w:sz w:val="48"/>
          <w:szCs w:val="48"/>
        </w:rPr>
      </w:pPr>
      <w:r>
        <w:rPr>
          <w:rFonts w:hint="eastAsia" w:ascii="宋体" w:hAnsi="宋体" w:cs="宋体"/>
          <w:b/>
          <w:bCs/>
          <w:sz w:val="48"/>
          <w:szCs w:val="48"/>
        </w:rPr>
        <w:t>（资格后审）</w:t>
      </w:r>
    </w:p>
    <w:p w14:paraId="100C2471">
      <w:pPr>
        <w:spacing w:line="620" w:lineRule="exact"/>
        <w:jc w:val="center"/>
        <w:rPr>
          <w:rFonts w:ascii="宋体" w:hAnsi="宋体" w:cs="宋体"/>
          <w:b/>
          <w:bCs/>
          <w:sz w:val="48"/>
          <w:szCs w:val="48"/>
        </w:rPr>
      </w:pPr>
    </w:p>
    <w:p w14:paraId="100C2472">
      <w:pPr>
        <w:snapToGrid w:val="0"/>
        <w:spacing w:line="620" w:lineRule="exact"/>
        <w:jc w:val="center"/>
        <w:rPr>
          <w:rFonts w:ascii="宋体" w:hAnsi="宋体" w:cs="宋体"/>
          <w:b/>
          <w:bCs/>
          <w:sz w:val="48"/>
          <w:szCs w:val="48"/>
        </w:rPr>
      </w:pPr>
      <w:r>
        <w:rPr>
          <w:rFonts w:hint="eastAsia" w:ascii="宋体" w:hAnsi="宋体" w:cs="宋体"/>
          <w:b/>
          <w:bCs/>
          <w:sz w:val="48"/>
          <w:szCs w:val="48"/>
        </w:rPr>
        <w:t xml:space="preserve"> </w:t>
      </w:r>
    </w:p>
    <w:p w14:paraId="100C2473">
      <w:pPr>
        <w:spacing w:line="460" w:lineRule="exact"/>
        <w:rPr>
          <w:rFonts w:ascii="宋体" w:hAnsi="宋体" w:cs="宋体"/>
          <w:sz w:val="48"/>
          <w:szCs w:val="48"/>
        </w:rPr>
      </w:pPr>
    </w:p>
    <w:p w14:paraId="100C2474">
      <w:pPr>
        <w:spacing w:line="460" w:lineRule="exact"/>
        <w:rPr>
          <w:rFonts w:ascii="宋体" w:hAnsi="宋体" w:cs="宋体"/>
          <w:sz w:val="32"/>
          <w:szCs w:val="32"/>
        </w:rPr>
      </w:pPr>
    </w:p>
    <w:p w14:paraId="100C2475">
      <w:pPr>
        <w:spacing w:line="460" w:lineRule="exact"/>
        <w:rPr>
          <w:rFonts w:ascii="宋体" w:hAnsi="宋体" w:cs="宋体"/>
          <w:sz w:val="32"/>
          <w:szCs w:val="32"/>
        </w:rPr>
      </w:pPr>
    </w:p>
    <w:p w14:paraId="100C2476">
      <w:pPr>
        <w:spacing w:line="460" w:lineRule="exact"/>
        <w:ind w:firstLine="2160" w:firstLineChars="600"/>
        <w:rPr>
          <w:rFonts w:ascii="宋体" w:hAnsi="宋体" w:cs="宋体"/>
          <w:sz w:val="36"/>
          <w:szCs w:val="36"/>
        </w:rPr>
      </w:pPr>
      <w:r>
        <w:rPr>
          <w:rFonts w:hint="eastAsia" w:ascii="宋体" w:hAnsi="宋体" w:cs="宋体"/>
          <w:sz w:val="36"/>
          <w:szCs w:val="36"/>
        </w:rPr>
        <w:t>投标人：参加投标人全称（公章）</w:t>
      </w:r>
    </w:p>
    <w:p w14:paraId="100C2477">
      <w:pPr>
        <w:spacing w:line="460" w:lineRule="exact"/>
        <w:ind w:firstLine="2160" w:firstLineChars="600"/>
        <w:rPr>
          <w:rFonts w:ascii="宋体" w:hAnsi="宋体" w:cs="宋体"/>
          <w:sz w:val="36"/>
          <w:szCs w:val="36"/>
        </w:rPr>
      </w:pPr>
      <w:r>
        <w:rPr>
          <w:rFonts w:hint="eastAsia" w:ascii="宋体" w:hAnsi="宋体" w:cs="宋体"/>
          <w:sz w:val="36"/>
          <w:szCs w:val="36"/>
        </w:rPr>
        <w:t>日  期：      年  月  日</w:t>
      </w:r>
    </w:p>
    <w:p w14:paraId="100C2478">
      <w:pPr>
        <w:spacing w:line="460" w:lineRule="exact"/>
        <w:jc w:val="left"/>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 xml:space="preserve"> </w:t>
      </w:r>
    </w:p>
    <w:p w14:paraId="100C2479">
      <w:pPr>
        <w:spacing w:line="460" w:lineRule="exact"/>
        <w:jc w:val="left"/>
        <w:rPr>
          <w:rFonts w:ascii="宋体" w:hAnsi="宋体" w:cs="宋体"/>
          <w:b/>
          <w:bCs/>
          <w:sz w:val="24"/>
          <w:szCs w:val="24"/>
        </w:rPr>
      </w:pPr>
      <w:r>
        <w:rPr>
          <w:rFonts w:hint="eastAsia" w:ascii="宋体" w:hAnsi="宋体" w:cs="宋体"/>
          <w:b/>
          <w:bCs/>
          <w:sz w:val="28"/>
          <w:szCs w:val="28"/>
        </w:rPr>
        <w:t>一、资格审查文件相关的格式文件及表格</w:t>
      </w:r>
    </w:p>
    <w:p w14:paraId="100C247A">
      <w:pPr>
        <w:spacing w:line="460" w:lineRule="exact"/>
        <w:jc w:val="center"/>
        <w:rPr>
          <w:rFonts w:ascii="宋体" w:hAnsi="宋体" w:cs="宋体"/>
          <w:b/>
          <w:sz w:val="24"/>
          <w:szCs w:val="24"/>
        </w:rPr>
      </w:pPr>
    </w:p>
    <w:p w14:paraId="100C247B">
      <w:pPr>
        <w:spacing w:line="460" w:lineRule="exact"/>
        <w:jc w:val="center"/>
        <w:rPr>
          <w:rFonts w:ascii="宋体" w:hAnsi="宋体" w:cs="宋体"/>
          <w:b/>
          <w:sz w:val="24"/>
          <w:szCs w:val="24"/>
        </w:rPr>
      </w:pPr>
      <w:r>
        <w:rPr>
          <w:rFonts w:hint="eastAsia" w:ascii="宋体" w:hAnsi="宋体" w:cs="宋体"/>
          <w:b/>
          <w:sz w:val="24"/>
          <w:szCs w:val="24"/>
        </w:rPr>
        <w:t>1.符合投标人资格要求的承诺函</w:t>
      </w:r>
    </w:p>
    <w:p w14:paraId="100C247C">
      <w:pPr>
        <w:spacing w:line="460" w:lineRule="exact"/>
        <w:rPr>
          <w:rFonts w:ascii="宋体" w:hAnsi="宋体" w:cs="宋体"/>
          <w:b/>
          <w:bCs/>
          <w:sz w:val="24"/>
          <w:szCs w:val="24"/>
        </w:rPr>
      </w:pPr>
      <w:r>
        <w:rPr>
          <w:rFonts w:hint="eastAsia" w:ascii="宋体" w:hAnsi="宋体" w:cs="宋体"/>
          <w:b/>
          <w:bCs/>
          <w:sz w:val="24"/>
          <w:szCs w:val="24"/>
        </w:rPr>
        <w:t xml:space="preserve">                          </w:t>
      </w:r>
    </w:p>
    <w:p w14:paraId="100C247D">
      <w:pPr>
        <w:spacing w:line="460" w:lineRule="exact"/>
        <w:ind w:firstLine="480" w:firstLineChars="200"/>
        <w:rPr>
          <w:rFonts w:ascii="宋体" w:hAnsi="宋体" w:cs="宋体"/>
          <w:b/>
          <w:bCs/>
          <w:sz w:val="24"/>
          <w:szCs w:val="24"/>
        </w:rPr>
      </w:pPr>
      <w:r>
        <w:rPr>
          <w:rFonts w:hint="eastAsia" w:ascii="宋体" w:hAnsi="宋体" w:cs="宋体"/>
          <w:bCs/>
          <w:sz w:val="24"/>
          <w:szCs w:val="24"/>
        </w:rPr>
        <w:t>我单位参加</w:t>
      </w:r>
      <w:r>
        <w:rPr>
          <w:rFonts w:hint="eastAsia" w:ascii="宋体" w:hAnsi="宋体" w:cs="宋体"/>
          <w:bCs/>
          <w:sz w:val="24"/>
          <w:szCs w:val="24"/>
          <w:u w:val="single"/>
        </w:rPr>
        <w:t>________________</w:t>
      </w:r>
      <w:r>
        <w:rPr>
          <w:rFonts w:hint="eastAsia" w:ascii="宋体" w:hAnsi="宋体" w:cs="宋体"/>
          <w:bCs/>
          <w:sz w:val="24"/>
          <w:szCs w:val="24"/>
        </w:rPr>
        <w:t>（项目名称），</w:t>
      </w:r>
      <w:r>
        <w:rPr>
          <w:rFonts w:hint="eastAsia" w:ascii="宋体" w:hAnsi="宋体" w:cs="宋体"/>
          <w:bCs/>
          <w:sz w:val="24"/>
          <w:szCs w:val="24"/>
          <w:u w:val="single"/>
        </w:rPr>
        <w:t>_______ __________</w:t>
      </w:r>
      <w:r>
        <w:rPr>
          <w:rFonts w:hint="eastAsia" w:ascii="宋体" w:hAnsi="宋体" w:cs="宋体"/>
          <w:bCs/>
          <w:sz w:val="24"/>
          <w:szCs w:val="24"/>
        </w:rPr>
        <w:t>（项目编号）投标活动。现做出如下承诺：</w:t>
      </w:r>
    </w:p>
    <w:p w14:paraId="100C247E">
      <w:pPr>
        <w:spacing w:line="460" w:lineRule="exact"/>
        <w:ind w:firstLine="480" w:firstLineChars="200"/>
        <w:rPr>
          <w:rFonts w:ascii="宋体" w:hAnsi="宋体" w:cs="宋体"/>
          <w:sz w:val="24"/>
          <w:szCs w:val="24"/>
        </w:rPr>
      </w:pPr>
      <w:r>
        <w:rPr>
          <w:rFonts w:hint="eastAsia" w:ascii="宋体" w:hAnsi="宋体" w:cs="宋体"/>
          <w:bCs/>
          <w:sz w:val="24"/>
          <w:szCs w:val="24"/>
        </w:rPr>
        <w:t>1.我单位具有独立承担民事责任的能力；</w:t>
      </w:r>
    </w:p>
    <w:p w14:paraId="100C247F">
      <w:pPr>
        <w:spacing w:line="460" w:lineRule="exact"/>
        <w:ind w:firstLine="480" w:firstLineChars="200"/>
        <w:rPr>
          <w:rFonts w:ascii="宋体" w:hAnsi="宋体" w:cs="宋体"/>
          <w:sz w:val="24"/>
          <w:szCs w:val="24"/>
        </w:rPr>
      </w:pPr>
      <w:r>
        <w:rPr>
          <w:rFonts w:hint="eastAsia" w:ascii="宋体" w:hAnsi="宋体" w:cs="宋体"/>
          <w:sz w:val="24"/>
          <w:szCs w:val="24"/>
        </w:rPr>
        <w:t>2.我单位具有良好的商业信誉和健全的财务会计制度；</w:t>
      </w:r>
    </w:p>
    <w:p w14:paraId="100C2480">
      <w:pPr>
        <w:spacing w:line="460" w:lineRule="exact"/>
        <w:ind w:firstLine="480" w:firstLineChars="200"/>
        <w:rPr>
          <w:rFonts w:ascii="宋体" w:hAnsi="宋体" w:cs="宋体"/>
          <w:sz w:val="24"/>
          <w:szCs w:val="24"/>
        </w:rPr>
      </w:pPr>
      <w:r>
        <w:rPr>
          <w:rFonts w:hint="eastAsia" w:ascii="宋体" w:hAnsi="宋体" w:cs="宋体"/>
          <w:sz w:val="24"/>
          <w:szCs w:val="24"/>
        </w:rPr>
        <w:t>3.我单位具有履行合同所必需的设备和专业技术能力；</w:t>
      </w:r>
    </w:p>
    <w:p w14:paraId="100C2481">
      <w:pPr>
        <w:spacing w:line="460" w:lineRule="exact"/>
        <w:ind w:firstLine="480" w:firstLineChars="200"/>
        <w:rPr>
          <w:rFonts w:ascii="宋体" w:hAnsi="宋体" w:cs="宋体"/>
          <w:sz w:val="24"/>
          <w:szCs w:val="24"/>
        </w:rPr>
      </w:pPr>
      <w:r>
        <w:rPr>
          <w:rFonts w:hint="eastAsia" w:ascii="宋体" w:hAnsi="宋体" w:cs="宋体"/>
          <w:sz w:val="24"/>
          <w:szCs w:val="24"/>
        </w:rPr>
        <w:t>4.我单位有依法缴纳税收和社会保障资金的良好记录；</w:t>
      </w:r>
    </w:p>
    <w:p w14:paraId="100C2482">
      <w:pPr>
        <w:spacing w:line="460" w:lineRule="exact"/>
        <w:ind w:firstLine="480" w:firstLineChars="200"/>
        <w:rPr>
          <w:rFonts w:ascii="宋体" w:hAnsi="宋体" w:cs="宋体"/>
          <w:sz w:val="24"/>
          <w:szCs w:val="24"/>
        </w:rPr>
      </w:pPr>
      <w:r>
        <w:rPr>
          <w:rFonts w:hint="eastAsia" w:ascii="宋体" w:hAnsi="宋体" w:cs="宋体"/>
          <w:sz w:val="24"/>
          <w:szCs w:val="24"/>
        </w:rPr>
        <w:t>5.我单位参加采购活动前三年内，在经营活动中没有重大违法记录。</w:t>
      </w:r>
    </w:p>
    <w:p w14:paraId="100C2483">
      <w:pPr>
        <w:spacing w:line="460" w:lineRule="exact"/>
        <w:ind w:firstLine="480" w:firstLineChars="200"/>
        <w:rPr>
          <w:rFonts w:ascii="宋体" w:hAnsi="宋体" w:cs="宋体"/>
          <w:sz w:val="24"/>
          <w:szCs w:val="24"/>
        </w:rPr>
      </w:pPr>
      <w:r>
        <w:rPr>
          <w:rFonts w:hint="eastAsia" w:ascii="宋体" w:hAnsi="宋体" w:cs="宋体"/>
          <w:sz w:val="24"/>
          <w:szCs w:val="24"/>
        </w:rPr>
        <w:t>6.我单位满足法律、行政法规规定的其他条件。</w:t>
      </w:r>
    </w:p>
    <w:p w14:paraId="100C2484">
      <w:pPr>
        <w:spacing w:line="460" w:lineRule="exact"/>
        <w:ind w:firstLine="480" w:firstLineChars="200"/>
        <w:rPr>
          <w:rFonts w:ascii="宋体" w:hAnsi="宋体" w:cs="宋体"/>
          <w:sz w:val="24"/>
          <w:szCs w:val="24"/>
        </w:rPr>
      </w:pPr>
    </w:p>
    <w:p w14:paraId="100C2485">
      <w:pPr>
        <w:spacing w:line="460" w:lineRule="exact"/>
        <w:ind w:firstLine="480" w:firstLineChars="200"/>
        <w:rPr>
          <w:rFonts w:ascii="宋体" w:hAnsi="宋体" w:cs="宋体"/>
          <w:sz w:val="24"/>
          <w:szCs w:val="24"/>
        </w:rPr>
      </w:pPr>
    </w:p>
    <w:p w14:paraId="100C2486">
      <w:pPr>
        <w:spacing w:line="460" w:lineRule="exact"/>
        <w:ind w:firstLine="480" w:firstLineChars="200"/>
        <w:rPr>
          <w:rFonts w:ascii="宋体" w:hAnsi="宋体" w:cs="宋体"/>
          <w:bCs/>
          <w:sz w:val="24"/>
          <w:szCs w:val="24"/>
        </w:rPr>
      </w:pPr>
    </w:p>
    <w:p w14:paraId="100C2487">
      <w:pPr>
        <w:spacing w:line="460" w:lineRule="exact"/>
        <w:ind w:firstLine="480" w:firstLineChars="200"/>
        <w:rPr>
          <w:rFonts w:ascii="宋体" w:hAnsi="宋体" w:cs="宋体"/>
          <w:bCs/>
          <w:sz w:val="24"/>
          <w:szCs w:val="24"/>
        </w:rPr>
      </w:pPr>
    </w:p>
    <w:p w14:paraId="100C2488">
      <w:pPr>
        <w:spacing w:line="460" w:lineRule="exact"/>
        <w:ind w:firstLine="480" w:firstLineChars="200"/>
        <w:rPr>
          <w:rFonts w:ascii="宋体" w:hAnsi="宋体" w:cs="宋体"/>
          <w:bCs/>
          <w:sz w:val="24"/>
          <w:szCs w:val="24"/>
        </w:rPr>
      </w:pPr>
    </w:p>
    <w:p w14:paraId="100C2489">
      <w:pPr>
        <w:spacing w:line="460" w:lineRule="exact"/>
        <w:ind w:firstLine="480" w:firstLineChars="200"/>
        <w:jc w:val="center"/>
        <w:rPr>
          <w:rFonts w:ascii="宋体" w:hAnsi="宋体" w:cs="宋体"/>
          <w:bCs/>
          <w:sz w:val="24"/>
          <w:szCs w:val="24"/>
        </w:rPr>
      </w:pPr>
      <w:r>
        <w:rPr>
          <w:rFonts w:hint="eastAsia" w:ascii="宋体" w:hAnsi="宋体" w:cs="宋体"/>
          <w:bCs/>
          <w:sz w:val="24"/>
          <w:szCs w:val="24"/>
        </w:rPr>
        <w:t xml:space="preserve">                                     承诺人名称（公章）：</w:t>
      </w:r>
    </w:p>
    <w:p w14:paraId="100C248A">
      <w:pPr>
        <w:spacing w:line="460" w:lineRule="exact"/>
        <w:ind w:firstLine="480" w:firstLineChars="200"/>
        <w:jc w:val="right"/>
        <w:rPr>
          <w:rFonts w:ascii="宋体" w:hAnsi="宋体" w:cs="宋体"/>
          <w:bCs/>
          <w:sz w:val="24"/>
          <w:szCs w:val="24"/>
        </w:rPr>
      </w:pPr>
      <w:r>
        <w:rPr>
          <w:rFonts w:hint="eastAsia" w:ascii="宋体" w:hAnsi="宋体" w:cs="宋体"/>
          <w:bCs/>
          <w:sz w:val="24"/>
          <w:szCs w:val="24"/>
        </w:rPr>
        <w:t xml:space="preserve">    </w:t>
      </w:r>
    </w:p>
    <w:p w14:paraId="100C248B">
      <w:pPr>
        <w:spacing w:line="460" w:lineRule="exact"/>
        <w:ind w:firstLine="480" w:firstLineChars="200"/>
        <w:jc w:val="right"/>
        <w:rPr>
          <w:rFonts w:ascii="宋体" w:hAnsi="宋体" w:cs="宋体"/>
          <w:bCs/>
          <w:sz w:val="24"/>
          <w:szCs w:val="24"/>
        </w:rPr>
      </w:pPr>
      <w:r>
        <w:rPr>
          <w:rFonts w:hint="eastAsia" w:ascii="宋体" w:hAnsi="宋体" w:cs="宋体"/>
          <w:bCs/>
          <w:sz w:val="24"/>
          <w:szCs w:val="24"/>
        </w:rPr>
        <w:t xml:space="preserve">                                日期：</w:t>
      </w:r>
      <w:r>
        <w:rPr>
          <w:rFonts w:hint="eastAsia" w:ascii="宋体" w:hAnsi="宋体" w:cs="宋体"/>
          <w:bCs/>
          <w:sz w:val="24"/>
          <w:szCs w:val="24"/>
          <w:u w:val="single"/>
        </w:rPr>
        <w:t>____</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w:t>
      </w:r>
    </w:p>
    <w:p w14:paraId="100C248C">
      <w:pPr>
        <w:snapToGrid w:val="0"/>
        <w:spacing w:line="400" w:lineRule="exact"/>
        <w:contextualSpacing/>
        <w:rPr>
          <w:rFonts w:ascii="宋体" w:hAnsi="宋体" w:cs="宋体"/>
          <w:b/>
          <w:kern w:val="0"/>
          <w:sz w:val="28"/>
          <w:szCs w:val="28"/>
          <w:lang w:val="zh-CN"/>
        </w:rPr>
      </w:pPr>
    </w:p>
    <w:p w14:paraId="100C248D">
      <w:pPr>
        <w:pStyle w:val="13"/>
        <w:rPr>
          <w:rFonts w:ascii="宋体" w:hAnsi="宋体" w:cs="宋体"/>
          <w:b/>
          <w:kern w:val="0"/>
          <w:sz w:val="28"/>
          <w:szCs w:val="28"/>
          <w:lang w:val="zh-CN"/>
        </w:rPr>
      </w:pPr>
    </w:p>
    <w:p w14:paraId="100C248E">
      <w:pPr>
        <w:spacing w:line="460" w:lineRule="exact"/>
        <w:jc w:val="center"/>
        <w:rPr>
          <w:rFonts w:ascii="宋体" w:hAnsi="宋体" w:cs="宋体"/>
          <w:b/>
          <w:bCs/>
          <w:sz w:val="28"/>
          <w:szCs w:val="28"/>
        </w:rPr>
      </w:pPr>
    </w:p>
    <w:p w14:paraId="100C248F">
      <w:pPr>
        <w:spacing w:line="460" w:lineRule="exact"/>
        <w:jc w:val="center"/>
        <w:rPr>
          <w:rFonts w:ascii="宋体" w:hAnsi="宋体" w:cs="宋体"/>
          <w:b/>
          <w:bCs/>
          <w:sz w:val="28"/>
          <w:szCs w:val="28"/>
        </w:rPr>
      </w:pPr>
    </w:p>
    <w:p w14:paraId="100C2490">
      <w:pPr>
        <w:rPr>
          <w:rFonts w:ascii="宋体" w:hAnsi="宋体" w:cs="宋体"/>
          <w:b/>
          <w:bCs/>
          <w:sz w:val="28"/>
          <w:szCs w:val="28"/>
        </w:rPr>
      </w:pPr>
      <w:r>
        <w:rPr>
          <w:rFonts w:hint="eastAsia" w:ascii="宋体" w:hAnsi="宋体" w:cs="宋体"/>
          <w:b/>
          <w:bCs/>
          <w:sz w:val="28"/>
          <w:szCs w:val="28"/>
        </w:rPr>
        <w:br w:type="page"/>
      </w:r>
    </w:p>
    <w:p w14:paraId="100C2491">
      <w:pPr>
        <w:spacing w:line="460" w:lineRule="exact"/>
        <w:jc w:val="center"/>
        <w:rPr>
          <w:rFonts w:ascii="宋体" w:hAnsi="宋体" w:cs="宋体"/>
          <w:b/>
          <w:bCs/>
          <w:sz w:val="32"/>
          <w:szCs w:val="32"/>
        </w:rPr>
      </w:pPr>
      <w:r>
        <w:rPr>
          <w:rFonts w:hint="eastAsia" w:ascii="宋体" w:hAnsi="宋体" w:cs="宋体"/>
          <w:b/>
          <w:bCs/>
          <w:sz w:val="32"/>
          <w:szCs w:val="32"/>
        </w:rPr>
        <w:t>2.法定代表人身份证明</w:t>
      </w:r>
    </w:p>
    <w:p w14:paraId="100C2492">
      <w:pPr>
        <w:spacing w:line="480" w:lineRule="exact"/>
        <w:ind w:firstLine="560" w:firstLineChars="200"/>
        <w:rPr>
          <w:rFonts w:hAnsi="宋体" w:cs="宋体"/>
          <w:sz w:val="28"/>
          <w:szCs w:val="28"/>
        </w:rPr>
      </w:pPr>
    </w:p>
    <w:p w14:paraId="100C2493">
      <w:pPr>
        <w:spacing w:line="480" w:lineRule="exact"/>
        <w:ind w:firstLine="560" w:firstLineChars="200"/>
        <w:rPr>
          <w:rFonts w:hAnsi="宋体" w:cs="宋体"/>
          <w:sz w:val="28"/>
          <w:szCs w:val="28"/>
        </w:rPr>
      </w:pPr>
    </w:p>
    <w:p w14:paraId="100C2494">
      <w:pPr>
        <w:spacing w:line="480" w:lineRule="exact"/>
        <w:ind w:firstLine="480" w:firstLineChars="200"/>
        <w:rPr>
          <w:rFonts w:hAnsi="宋体" w:cs="宋体"/>
          <w:sz w:val="24"/>
          <w:szCs w:val="24"/>
        </w:rPr>
      </w:pPr>
      <w:r>
        <w:rPr>
          <w:rFonts w:hint="eastAsia" w:hAnsi="宋体" w:cs="宋体"/>
          <w:sz w:val="24"/>
          <w:szCs w:val="24"/>
        </w:rPr>
        <w:t>单位名称：</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p>
    <w:p w14:paraId="100C2495">
      <w:pPr>
        <w:spacing w:line="480" w:lineRule="exact"/>
        <w:ind w:firstLine="480" w:firstLineChars="200"/>
        <w:rPr>
          <w:rFonts w:hAnsi="宋体" w:cs="宋体"/>
          <w:sz w:val="24"/>
          <w:szCs w:val="24"/>
        </w:rPr>
      </w:pPr>
      <w:r>
        <w:rPr>
          <w:rFonts w:hint="eastAsia" w:hAnsi="宋体" w:cs="宋体"/>
          <w:sz w:val="24"/>
          <w:szCs w:val="24"/>
        </w:rPr>
        <w:t>地    址：</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p>
    <w:p w14:paraId="100C2496">
      <w:pPr>
        <w:spacing w:line="480" w:lineRule="exact"/>
        <w:ind w:firstLine="480" w:firstLineChars="200"/>
        <w:rPr>
          <w:rFonts w:hAnsi="宋体" w:cs="宋体"/>
          <w:sz w:val="24"/>
          <w:szCs w:val="24"/>
        </w:rPr>
      </w:pPr>
      <w:r>
        <w:rPr>
          <w:rFonts w:hint="eastAsia" w:hAnsi="宋体" w:cs="宋体"/>
          <w:sz w:val="24"/>
          <w:szCs w:val="24"/>
        </w:rPr>
        <w:t>姓    名：</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rPr>
        <w:t>性   别：</w:t>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年  龄：</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职  务：</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联系方式：</w:t>
      </w:r>
      <w:r>
        <w:rPr>
          <w:rFonts w:hint="eastAsia" w:hAnsi="宋体" w:cs="宋体"/>
          <w:sz w:val="24"/>
          <w:szCs w:val="24"/>
          <w:u w:val="single"/>
        </w:rPr>
        <w:t xml:space="preserve">         </w:t>
      </w:r>
    </w:p>
    <w:p w14:paraId="100C2497">
      <w:pPr>
        <w:spacing w:line="480" w:lineRule="exact"/>
        <w:ind w:firstLine="480" w:firstLineChars="200"/>
        <w:rPr>
          <w:rFonts w:hAnsi="宋体" w:cs="宋体"/>
          <w:sz w:val="24"/>
          <w:szCs w:val="24"/>
        </w:rPr>
      </w:pPr>
      <w:r>
        <w:rPr>
          <w:rFonts w:hint="eastAsia" w:hAnsi="宋体" w:cs="宋体"/>
          <w:sz w:val="24"/>
          <w:szCs w:val="24"/>
        </w:rPr>
        <w:t>系</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的法定代表人。</w:t>
      </w:r>
    </w:p>
    <w:p w14:paraId="100C2498">
      <w:pPr>
        <w:spacing w:line="480" w:lineRule="exact"/>
        <w:ind w:firstLine="480" w:firstLineChars="200"/>
        <w:rPr>
          <w:rFonts w:hAnsi="宋体" w:cs="宋体"/>
          <w:sz w:val="24"/>
          <w:szCs w:val="24"/>
        </w:rPr>
      </w:pPr>
      <w:r>
        <w:rPr>
          <w:rFonts w:hint="eastAsia" w:hAnsi="宋体" w:cs="宋体"/>
          <w:sz w:val="24"/>
          <w:szCs w:val="24"/>
        </w:rPr>
        <w:t>特此证明</w:t>
      </w:r>
    </w:p>
    <w:p w14:paraId="100C2499">
      <w:pPr>
        <w:spacing w:line="480" w:lineRule="exact"/>
        <w:ind w:firstLine="480" w:firstLineChars="200"/>
        <w:rPr>
          <w:rFonts w:hAnsi="宋体" w:cs="宋体"/>
          <w:sz w:val="24"/>
          <w:szCs w:val="24"/>
        </w:rPr>
      </w:pPr>
    </w:p>
    <w:p w14:paraId="100C249A">
      <w:pPr>
        <w:spacing w:line="480" w:lineRule="exact"/>
        <w:ind w:firstLine="480" w:firstLineChars="200"/>
        <w:rPr>
          <w:rFonts w:hAnsi="宋体" w:cs="宋体"/>
          <w:sz w:val="24"/>
          <w:szCs w:val="24"/>
        </w:rPr>
      </w:pPr>
    </w:p>
    <w:p w14:paraId="100C249B">
      <w:pPr>
        <w:spacing w:line="480" w:lineRule="exact"/>
        <w:ind w:firstLine="480" w:firstLineChars="200"/>
        <w:rPr>
          <w:rFonts w:hAnsi="宋体" w:cs="宋体"/>
          <w:sz w:val="24"/>
          <w:szCs w:val="24"/>
        </w:rPr>
      </w:pPr>
    </w:p>
    <w:p w14:paraId="100C249C">
      <w:pPr>
        <w:spacing w:line="480" w:lineRule="exact"/>
        <w:ind w:firstLine="480" w:firstLineChars="200"/>
        <w:rPr>
          <w:rFonts w:hAnsi="宋体" w:cs="宋体"/>
          <w:sz w:val="24"/>
          <w:szCs w:val="24"/>
        </w:rPr>
      </w:pPr>
      <w:r>
        <w:rPr>
          <w:rFonts w:hint="eastAsia" w:hAnsi="宋体" w:cs="宋体"/>
          <w:sz w:val="24"/>
          <w:szCs w:val="24"/>
        </w:rPr>
        <w:t>申请人：</w:t>
      </w:r>
      <w:r>
        <w:rPr>
          <w:rFonts w:hint="eastAsia" w:hAnsi="宋体" w:cs="宋体"/>
          <w:sz w:val="24"/>
          <w:szCs w:val="24"/>
          <w:u w:val="single"/>
        </w:rPr>
        <w:t>（盖章）</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p>
    <w:p w14:paraId="100C249D">
      <w:pPr>
        <w:spacing w:line="480" w:lineRule="exact"/>
        <w:ind w:firstLine="480" w:firstLineChars="200"/>
        <w:rPr>
          <w:rFonts w:hAnsi="宋体" w:cs="宋体"/>
          <w:sz w:val="24"/>
          <w:szCs w:val="24"/>
        </w:rPr>
      </w:pPr>
    </w:p>
    <w:p w14:paraId="100C249E">
      <w:pPr>
        <w:spacing w:line="480" w:lineRule="exact"/>
        <w:ind w:firstLine="480" w:firstLineChars="200"/>
        <w:rPr>
          <w:rFonts w:hAnsi="宋体" w:cs="宋体"/>
          <w:sz w:val="24"/>
          <w:szCs w:val="24"/>
        </w:rPr>
      </w:pPr>
      <w:r>
        <w:rPr>
          <w:rFonts w:hint="eastAsia" w:hAnsi="宋体" w:cs="宋体"/>
          <w:sz w:val="24"/>
          <w:szCs w:val="24"/>
        </w:rPr>
        <w:t>日    期：</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rPr>
        <w:t>月</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日</w:t>
      </w:r>
    </w:p>
    <w:p w14:paraId="100C249F">
      <w:pPr>
        <w:snapToGrid w:val="0"/>
        <w:spacing w:line="360" w:lineRule="auto"/>
        <w:ind w:firstLine="480" w:firstLineChars="200"/>
        <w:rPr>
          <w:rFonts w:hAnsi="宋体" w:cs="宋体"/>
          <w:sz w:val="24"/>
          <w:szCs w:val="24"/>
        </w:rPr>
      </w:pPr>
    </w:p>
    <w:p w14:paraId="100C24A0">
      <w:pPr>
        <w:snapToGrid w:val="0"/>
        <w:spacing w:line="360" w:lineRule="auto"/>
        <w:ind w:firstLine="400" w:firstLineChars="200"/>
        <w:rPr>
          <w:rFonts w:hAnsi="宋体" w:cs="宋体"/>
          <w:sz w:val="20"/>
          <w:szCs w:val="20"/>
        </w:rPr>
      </w:pPr>
    </w:p>
    <w:p w14:paraId="100C24A1">
      <w:pPr>
        <w:spacing w:line="460" w:lineRule="exact"/>
        <w:ind w:firstLine="1200" w:firstLineChars="500"/>
        <w:rPr>
          <w:rFonts w:ascii="宋体" w:hAnsi="宋体" w:cs="宋体"/>
          <w:sz w:val="24"/>
          <w:szCs w:val="24"/>
        </w:rPr>
      </w:pPr>
      <w:r>
        <w:rPr>
          <w:rFonts w:hint="eastAsia" w:ascii="宋体" w:hAnsi="宋体" w:cs="宋体"/>
          <w:sz w:val="24"/>
          <w:szCs w:val="24"/>
        </w:rPr>
        <w:t xml:space="preserve"> </w:t>
      </w:r>
    </w:p>
    <w:p w14:paraId="100C24A2">
      <w:pPr>
        <w:spacing w:line="460" w:lineRule="exact"/>
        <w:rPr>
          <w:rFonts w:ascii="宋体" w:hAnsi="宋体" w:cs="宋体"/>
          <w:sz w:val="24"/>
          <w:szCs w:val="24"/>
        </w:rPr>
      </w:pPr>
      <w:r>
        <w:rPr>
          <w:rFonts w:hint="eastAsia" w:ascii="宋体" w:hAnsi="宋体" w:cs="宋体"/>
          <w:sz w:val="24"/>
          <w:szCs w:val="24"/>
        </w:rPr>
        <w:t xml:space="preserve"> </w:t>
      </w:r>
    </w:p>
    <w:p w14:paraId="100C24A3">
      <w:pPr>
        <w:spacing w:line="460" w:lineRule="exact"/>
        <w:rPr>
          <w:rFonts w:ascii="宋体" w:hAnsi="宋体" w:cs="宋体"/>
          <w:sz w:val="24"/>
          <w:szCs w:val="24"/>
        </w:rPr>
      </w:pPr>
      <w:r>
        <w:rPr>
          <w:rFonts w:hint="eastAsia" w:ascii="宋体" w:hAnsi="宋体" w:cs="宋体"/>
          <w:sz w:val="24"/>
          <w:szCs w:val="24"/>
        </w:rPr>
        <w:t>法定代表人身份证复印件</w:t>
      </w:r>
    </w:p>
    <w:p w14:paraId="100C24A4">
      <w:pPr>
        <w:spacing w:line="460" w:lineRule="exact"/>
        <w:rPr>
          <w:rFonts w:ascii="宋体" w:hAnsi="宋体" w:cs="宋体"/>
          <w:sz w:val="24"/>
          <w:szCs w:val="24"/>
        </w:rPr>
      </w:pPr>
      <w:r>
        <w:rPr>
          <w:rFonts w:hint="eastAsia" w:ascii="宋体" w:hAnsi="宋体" w:cs="宋体"/>
          <w:sz w:val="24"/>
          <w:szCs w:val="24"/>
        </w:rPr>
        <w:t xml:space="preserve"> </w:t>
      </w:r>
    </w:p>
    <w:p w14:paraId="100C24A5">
      <w:pPr>
        <w:spacing w:line="460" w:lineRule="exact"/>
        <w:ind w:firstLine="2280" w:firstLineChars="950"/>
        <w:rPr>
          <w:rFonts w:ascii="宋体" w:hAnsi="宋体" w:cs="宋体"/>
          <w:sz w:val="24"/>
          <w:szCs w:val="24"/>
        </w:rPr>
      </w:pPr>
      <w:r>
        <w:rPr>
          <w:rFonts w:hint="eastAsia" w:ascii="宋体" w:hAnsi="宋体" w:cs="宋体"/>
          <w:sz w:val="24"/>
          <w:szCs w:val="24"/>
        </w:rPr>
        <w:t>（粘贴此处）</w:t>
      </w:r>
    </w:p>
    <w:p w14:paraId="100C24A6">
      <w:pPr>
        <w:spacing w:line="460" w:lineRule="exact"/>
        <w:ind w:firstLine="2670" w:firstLineChars="950"/>
        <w:rPr>
          <w:rFonts w:ascii="宋体" w:hAnsi="宋体" w:cs="宋体"/>
          <w:b/>
          <w:bCs/>
          <w:sz w:val="28"/>
          <w:szCs w:val="28"/>
        </w:rPr>
      </w:pPr>
      <w:r>
        <w:rPr>
          <w:rFonts w:hint="eastAsia" w:ascii="宋体" w:hAnsi="宋体" w:cs="宋体"/>
          <w:b/>
          <w:bCs/>
          <w:sz w:val="28"/>
          <w:szCs w:val="28"/>
        </w:rPr>
        <w:t xml:space="preserve"> </w:t>
      </w:r>
    </w:p>
    <w:p w14:paraId="100C24A7">
      <w:pPr>
        <w:spacing w:line="460" w:lineRule="exact"/>
        <w:rPr>
          <w:rFonts w:ascii="宋体" w:hAnsi="宋体" w:cs="宋体"/>
          <w:sz w:val="22"/>
          <w:szCs w:val="22"/>
        </w:rPr>
      </w:pPr>
    </w:p>
    <w:p w14:paraId="100C24A8">
      <w:pPr>
        <w:spacing w:line="460" w:lineRule="exact"/>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3.授权委托书</w:t>
      </w:r>
    </w:p>
    <w:p w14:paraId="100C24A9">
      <w:pPr>
        <w:snapToGrid w:val="0"/>
        <w:spacing w:line="460" w:lineRule="exact"/>
        <w:jc w:val="center"/>
        <w:rPr>
          <w:rFonts w:ascii="宋体" w:hAnsi="宋体" w:cs="宋体"/>
          <w:sz w:val="24"/>
          <w:szCs w:val="24"/>
          <w:u w:val="single"/>
        </w:rPr>
      </w:pPr>
      <w:bookmarkStart w:id="5" w:name="_Toc360526534"/>
      <w:r>
        <w:rPr>
          <w:rFonts w:hint="eastAsia" w:ascii="宋体" w:hAnsi="宋体" w:cs="宋体"/>
          <w:sz w:val="24"/>
          <w:szCs w:val="24"/>
          <w:u w:val="single"/>
        </w:rPr>
        <w:t>（被授权人参加投标时，须出示此证明）</w:t>
      </w:r>
    </w:p>
    <w:p w14:paraId="100C24AA">
      <w:pPr>
        <w:snapToGrid w:val="0"/>
        <w:spacing w:line="460" w:lineRule="exact"/>
        <w:rPr>
          <w:rFonts w:ascii="宋体" w:hAnsi="宋体" w:cs="宋体"/>
          <w:sz w:val="24"/>
          <w:szCs w:val="24"/>
        </w:rPr>
      </w:pPr>
    </w:p>
    <w:p w14:paraId="100C24AB">
      <w:pPr>
        <w:snapToGrid w:val="0"/>
        <w:spacing w:line="460" w:lineRule="exact"/>
        <w:rPr>
          <w:rFonts w:ascii="宋体" w:hAnsi="宋体" w:cs="宋体"/>
          <w:sz w:val="24"/>
          <w:szCs w:val="24"/>
        </w:rPr>
      </w:pPr>
    </w:p>
    <w:p w14:paraId="100C24AC">
      <w:pPr>
        <w:snapToGrid w:val="0"/>
        <w:spacing w:line="460" w:lineRule="exact"/>
        <w:rPr>
          <w:rFonts w:ascii="宋体" w:hAnsi="宋体" w:cs="宋体"/>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AD">
      <w:pPr>
        <w:snapToGrid w:val="0"/>
        <w:spacing w:line="460" w:lineRule="exact"/>
        <w:ind w:firstLine="480" w:firstLineChars="200"/>
        <w:rPr>
          <w:rFonts w:ascii="宋体" w:hAnsi="宋体" w:cs="宋体"/>
          <w:sz w:val="24"/>
          <w:szCs w:val="24"/>
        </w:rPr>
      </w:pPr>
      <w:r>
        <w:rPr>
          <w:rFonts w:hint="eastAsia" w:ascii="宋体" w:hAnsi="宋体" w:cs="宋体"/>
          <w:sz w:val="24"/>
          <w:szCs w:val="24"/>
        </w:rPr>
        <w:t>兹授权</w:t>
      </w:r>
      <w:r>
        <w:rPr>
          <w:rFonts w:hint="eastAsia" w:ascii="宋体" w:hAnsi="宋体" w:cs="宋体"/>
          <w:sz w:val="24"/>
          <w:szCs w:val="24"/>
          <w:u w:val="single"/>
        </w:rPr>
        <w:t xml:space="preserve">               （</w:t>
      </w:r>
      <w:r>
        <w:rPr>
          <w:rFonts w:hint="eastAsia" w:ascii="宋体" w:hAnsi="宋体" w:cs="宋体"/>
          <w:sz w:val="24"/>
          <w:szCs w:val="24"/>
        </w:rPr>
        <w:t xml:space="preserve">被授权人的姓名）代表我公司参加    </w:t>
      </w:r>
      <w:r>
        <w:rPr>
          <w:rFonts w:hint="eastAsia" w:ascii="宋体" w:hAnsi="宋体" w:cs="宋体"/>
          <w:sz w:val="24"/>
          <w:szCs w:val="24"/>
          <w:u w:val="single"/>
        </w:rPr>
        <w:t xml:space="preserve">         （招标项目名称及项目编号）</w:t>
      </w:r>
      <w:r>
        <w:rPr>
          <w:rFonts w:hint="eastAsia" w:ascii="宋体" w:hAnsi="宋体" w:cs="宋体"/>
          <w:sz w:val="24"/>
          <w:szCs w:val="24"/>
        </w:rPr>
        <w:t>项目的政府招标活动，全权处理一切与该项目公开招标有关的事务。其在办理上述事宜过程中所签署的所有文件我单位均予以承认。</w:t>
      </w:r>
    </w:p>
    <w:p w14:paraId="100C24AE">
      <w:pPr>
        <w:pStyle w:val="30"/>
        <w:adjustRightInd w:val="0"/>
        <w:snapToGrid w:val="0"/>
        <w:spacing w:line="460" w:lineRule="exact"/>
        <w:ind w:firstLine="480" w:firstLineChars="200"/>
        <w:jc w:val="left"/>
        <w:rPr>
          <w:rFonts w:hAnsi="宋体"/>
          <w:sz w:val="24"/>
          <w:szCs w:val="24"/>
        </w:rPr>
      </w:pPr>
      <w:r>
        <w:rPr>
          <w:rFonts w:hint="eastAsia" w:hAnsi="宋体"/>
          <w:sz w:val="24"/>
          <w:szCs w:val="24"/>
        </w:rPr>
        <w:t>被授权人无转委托权，特此委托。</w:t>
      </w:r>
    </w:p>
    <w:p w14:paraId="100C24AF">
      <w:pPr>
        <w:pStyle w:val="30"/>
        <w:adjustRightInd w:val="0"/>
        <w:snapToGrid w:val="0"/>
        <w:spacing w:line="460" w:lineRule="exact"/>
        <w:ind w:firstLine="480" w:firstLineChars="200"/>
        <w:jc w:val="left"/>
        <w:rPr>
          <w:rFonts w:hAnsi="宋体"/>
          <w:sz w:val="24"/>
          <w:szCs w:val="24"/>
        </w:rPr>
      </w:pPr>
    </w:p>
    <w:p w14:paraId="100C24B0">
      <w:pPr>
        <w:spacing w:line="460" w:lineRule="exact"/>
        <w:rPr>
          <w:rFonts w:ascii="宋体" w:hAnsi="宋体" w:cs="宋体"/>
          <w:sz w:val="24"/>
          <w:szCs w:val="24"/>
        </w:rPr>
      </w:pPr>
      <w:r>
        <w:rPr>
          <w:rFonts w:hint="eastAsia" w:ascii="宋体" w:hAnsi="宋体" w:cs="宋体"/>
          <w:sz w:val="24"/>
          <w:szCs w:val="24"/>
        </w:rPr>
        <w:t>附：被授权人情况：</w:t>
      </w:r>
    </w:p>
    <w:p w14:paraId="100C24B1">
      <w:pPr>
        <w:spacing w:line="460" w:lineRule="exact"/>
        <w:rPr>
          <w:rFonts w:ascii="宋体" w:hAnsi="宋体" w:cs="宋体"/>
          <w:sz w:val="24"/>
          <w:szCs w:val="24"/>
          <w:u w:val="single"/>
        </w:rPr>
      </w:pPr>
      <w:r>
        <w:rPr>
          <w:rFonts w:hint="eastAsia" w:ascii="宋体" w:hAnsi="宋体" w:cs="宋体"/>
          <w:sz w:val="24"/>
          <w:szCs w:val="24"/>
        </w:rPr>
        <w:t>姓名：</w:t>
      </w:r>
      <w:r>
        <w:rPr>
          <w:rFonts w:hint="eastAsia" w:ascii="宋体" w:hAnsi="宋体" w:cs="宋体"/>
          <w:sz w:val="24"/>
          <w:szCs w:val="24"/>
          <w:u w:val="single"/>
        </w:rPr>
        <w:t xml:space="preserve">            </w:t>
      </w:r>
      <w:r>
        <w:rPr>
          <w:rFonts w:hint="eastAsia" w:ascii="宋体" w:hAnsi="宋体" w:cs="宋体"/>
          <w:sz w:val="24"/>
          <w:szCs w:val="24"/>
        </w:rPr>
        <w:t xml:space="preserve"> 性别：</w:t>
      </w:r>
      <w:r>
        <w:rPr>
          <w:rFonts w:hint="eastAsia" w:ascii="宋体" w:hAnsi="宋体" w:cs="宋体"/>
          <w:sz w:val="24"/>
          <w:szCs w:val="24"/>
          <w:u w:val="single"/>
        </w:rPr>
        <w:t xml:space="preserve">            </w:t>
      </w:r>
      <w:r>
        <w:rPr>
          <w:rFonts w:hint="eastAsia" w:ascii="宋体" w:hAnsi="宋体" w:cs="宋体"/>
          <w:sz w:val="24"/>
          <w:szCs w:val="24"/>
        </w:rPr>
        <w:t xml:space="preserve"> 年龄：</w:t>
      </w:r>
      <w:r>
        <w:rPr>
          <w:rFonts w:hint="eastAsia" w:ascii="宋体" w:hAnsi="宋体" w:cs="宋体"/>
          <w:sz w:val="24"/>
          <w:szCs w:val="24"/>
          <w:u w:val="single"/>
        </w:rPr>
        <w:t xml:space="preserve">            </w:t>
      </w:r>
      <w:r>
        <w:rPr>
          <w:rFonts w:hint="eastAsia" w:ascii="宋体" w:hAnsi="宋体" w:cs="宋体"/>
          <w:sz w:val="24"/>
          <w:szCs w:val="24"/>
        </w:rPr>
        <w:t xml:space="preserve"> 职务：</w:t>
      </w:r>
      <w:r>
        <w:rPr>
          <w:rFonts w:hint="eastAsia" w:ascii="宋体" w:hAnsi="宋体" w:cs="宋体"/>
          <w:sz w:val="24"/>
          <w:szCs w:val="24"/>
          <w:u w:val="single"/>
        </w:rPr>
        <w:t xml:space="preserve">          </w:t>
      </w:r>
    </w:p>
    <w:p w14:paraId="100C24B2">
      <w:pPr>
        <w:spacing w:line="460" w:lineRule="exact"/>
        <w:rPr>
          <w:rFonts w:ascii="宋体" w:hAnsi="宋体" w:cs="宋体"/>
          <w:sz w:val="24"/>
          <w:szCs w:val="24"/>
        </w:rPr>
      </w:pPr>
      <w:r>
        <w:rPr>
          <w:rFonts w:hint="eastAsia" w:ascii="宋体" w:hAnsi="宋体" w:cs="宋体"/>
          <w:sz w:val="24"/>
          <w:szCs w:val="24"/>
        </w:rPr>
        <w:t>身份证号码：</w:t>
      </w:r>
      <w:r>
        <w:rPr>
          <w:rFonts w:hint="eastAsia" w:ascii="宋体" w:hAnsi="宋体" w:cs="宋体"/>
          <w:sz w:val="24"/>
          <w:szCs w:val="24"/>
          <w:u w:val="single"/>
        </w:rPr>
        <w:t xml:space="preserve">                                          </w:t>
      </w:r>
    </w:p>
    <w:p w14:paraId="100C24B3">
      <w:pPr>
        <w:spacing w:line="460" w:lineRule="exact"/>
        <w:rPr>
          <w:rFonts w:ascii="宋体" w:hAnsi="宋体" w:cs="宋体"/>
          <w:sz w:val="24"/>
          <w:szCs w:val="24"/>
        </w:rPr>
      </w:pPr>
      <w:r>
        <w:rPr>
          <w:rFonts w:hint="eastAsia" w:ascii="宋体" w:hAnsi="宋体" w:cs="宋体"/>
          <w:sz w:val="24"/>
          <w:szCs w:val="24"/>
        </w:rPr>
        <w:t>手机：</w:t>
      </w:r>
      <w:r>
        <w:rPr>
          <w:rFonts w:hint="eastAsia" w:ascii="宋体" w:hAnsi="宋体" w:cs="宋体"/>
          <w:sz w:val="24"/>
          <w:szCs w:val="24"/>
          <w:u w:val="single"/>
        </w:rPr>
        <w:t xml:space="preserve">             </w:t>
      </w:r>
      <w:r>
        <w:rPr>
          <w:rFonts w:hint="eastAsia" w:ascii="宋体" w:hAnsi="宋体" w:cs="宋体"/>
          <w:sz w:val="24"/>
          <w:szCs w:val="24"/>
        </w:rPr>
        <w:t xml:space="preserve">  传真：</w:t>
      </w:r>
      <w:r>
        <w:rPr>
          <w:rFonts w:hint="eastAsia" w:ascii="宋体" w:hAnsi="宋体" w:cs="宋体"/>
          <w:sz w:val="24"/>
          <w:szCs w:val="24"/>
          <w:u w:val="single"/>
        </w:rPr>
        <w:t xml:space="preserve">                        </w:t>
      </w:r>
      <w:r>
        <w:rPr>
          <w:rFonts w:hint="eastAsia" w:ascii="宋体" w:hAnsi="宋体" w:cs="宋体"/>
          <w:sz w:val="24"/>
          <w:szCs w:val="24"/>
        </w:rPr>
        <w:t xml:space="preserve"> </w:t>
      </w:r>
    </w:p>
    <w:p w14:paraId="100C24B4">
      <w:pPr>
        <w:spacing w:line="460" w:lineRule="exact"/>
        <w:rPr>
          <w:rFonts w:ascii="宋体" w:hAnsi="宋体" w:cs="宋体"/>
          <w:sz w:val="24"/>
          <w:szCs w:val="24"/>
        </w:rPr>
      </w:pPr>
      <w:r>
        <w:rPr>
          <w:rFonts w:hint="eastAsia" w:ascii="宋体" w:hAnsi="宋体" w:cs="宋体"/>
          <w:sz w:val="24"/>
          <w:szCs w:val="24"/>
        </w:rPr>
        <w:t>单位名称（公章）             法定代表人（签字或盖章）</w:t>
      </w:r>
    </w:p>
    <w:p w14:paraId="100C24B5">
      <w:pPr>
        <w:spacing w:line="460" w:lineRule="exact"/>
        <w:ind w:firstLine="1200" w:firstLineChars="500"/>
        <w:rPr>
          <w:rFonts w:ascii="宋体" w:hAnsi="宋体" w:cs="宋体"/>
          <w:sz w:val="24"/>
          <w:szCs w:val="24"/>
        </w:rPr>
      </w:pPr>
      <w:r>
        <w:rPr>
          <w:rFonts w:hint="eastAsia" w:ascii="宋体" w:hAnsi="宋体" w:cs="宋体"/>
          <w:sz w:val="24"/>
          <w:szCs w:val="24"/>
        </w:rPr>
        <w:t xml:space="preserve">年   月   日                 年   月    日  </w:t>
      </w:r>
    </w:p>
    <w:p w14:paraId="100C24B6">
      <w:pPr>
        <w:spacing w:line="460" w:lineRule="exact"/>
        <w:rPr>
          <w:rFonts w:ascii="宋体" w:hAnsi="宋体" w:cs="宋体"/>
          <w:sz w:val="24"/>
          <w:szCs w:val="24"/>
        </w:rPr>
      </w:pPr>
      <w:r>
        <w:rPr>
          <w:rFonts w:hint="eastAsia" w:ascii="宋体" w:hAnsi="宋体" w:cs="宋体"/>
          <w:sz w:val="24"/>
          <w:szCs w:val="24"/>
        </w:rPr>
        <w:t xml:space="preserve"> </w:t>
      </w:r>
    </w:p>
    <w:p w14:paraId="100C24B7">
      <w:pPr>
        <w:spacing w:line="460" w:lineRule="exact"/>
        <w:rPr>
          <w:rFonts w:ascii="宋体" w:hAnsi="宋体" w:cs="宋体"/>
          <w:sz w:val="24"/>
          <w:szCs w:val="24"/>
        </w:rPr>
      </w:pPr>
      <w:r>
        <w:rPr>
          <w:rFonts w:hint="eastAsia" w:ascii="宋体" w:hAnsi="宋体" w:cs="宋体"/>
          <w:sz w:val="24"/>
          <w:szCs w:val="24"/>
        </w:rPr>
        <w:t xml:space="preserve"> </w:t>
      </w:r>
    </w:p>
    <w:p w14:paraId="100C24B8">
      <w:pPr>
        <w:spacing w:line="460" w:lineRule="exact"/>
        <w:rPr>
          <w:rFonts w:ascii="宋体" w:hAnsi="宋体" w:cs="宋体"/>
          <w:sz w:val="24"/>
          <w:szCs w:val="24"/>
        </w:rPr>
      </w:pPr>
      <w:r>
        <w:rPr>
          <w:rFonts w:hint="eastAsia" w:ascii="宋体" w:hAnsi="宋体" w:cs="宋体"/>
          <w:sz w:val="24"/>
          <w:szCs w:val="24"/>
        </w:rPr>
        <w:t>法定代表人身份证复印件</w:t>
      </w:r>
    </w:p>
    <w:p w14:paraId="100C24B9">
      <w:pPr>
        <w:spacing w:line="460" w:lineRule="exact"/>
        <w:rPr>
          <w:rFonts w:ascii="宋体" w:hAnsi="宋体" w:cs="宋体"/>
          <w:sz w:val="24"/>
          <w:szCs w:val="24"/>
        </w:rPr>
      </w:pPr>
    </w:p>
    <w:p w14:paraId="100C24BA">
      <w:pPr>
        <w:spacing w:line="460" w:lineRule="exact"/>
        <w:rPr>
          <w:rFonts w:ascii="宋体" w:hAnsi="宋体" w:cs="宋体"/>
          <w:sz w:val="24"/>
          <w:szCs w:val="24"/>
        </w:rPr>
      </w:pPr>
    </w:p>
    <w:p w14:paraId="100C24BB">
      <w:pPr>
        <w:spacing w:line="460" w:lineRule="exact"/>
        <w:rPr>
          <w:rFonts w:ascii="宋体" w:hAnsi="宋体" w:cs="宋体"/>
          <w:sz w:val="24"/>
          <w:szCs w:val="24"/>
        </w:rPr>
      </w:pPr>
      <w:r>
        <w:rPr>
          <w:rFonts w:hint="eastAsia" w:ascii="宋体" w:hAnsi="宋体" w:cs="宋体"/>
          <w:sz w:val="24"/>
          <w:szCs w:val="24"/>
        </w:rPr>
        <w:t>被授权人身份证复印件</w:t>
      </w:r>
    </w:p>
    <w:p w14:paraId="100C24BC">
      <w:pPr>
        <w:spacing w:line="460" w:lineRule="exact"/>
        <w:rPr>
          <w:rFonts w:ascii="宋体" w:hAnsi="宋体" w:cs="宋体"/>
          <w:sz w:val="24"/>
          <w:szCs w:val="24"/>
        </w:rPr>
      </w:pPr>
      <w:r>
        <w:rPr>
          <w:rFonts w:hint="eastAsia" w:ascii="宋体" w:hAnsi="宋体" w:cs="宋体"/>
          <w:sz w:val="24"/>
          <w:szCs w:val="24"/>
        </w:rPr>
        <w:t xml:space="preserve"> </w:t>
      </w:r>
    </w:p>
    <w:p w14:paraId="100C24BD">
      <w:pPr>
        <w:spacing w:line="460" w:lineRule="exact"/>
        <w:ind w:firstLine="2280" w:firstLineChars="950"/>
        <w:rPr>
          <w:rFonts w:ascii="宋体" w:hAnsi="宋体" w:cs="宋体"/>
          <w:sz w:val="24"/>
          <w:szCs w:val="24"/>
        </w:rPr>
      </w:pPr>
      <w:r>
        <w:rPr>
          <w:rFonts w:hint="eastAsia" w:ascii="宋体" w:hAnsi="宋体" w:cs="宋体"/>
          <w:sz w:val="24"/>
          <w:szCs w:val="24"/>
        </w:rPr>
        <w:t>（粘贴此处）</w:t>
      </w:r>
    </w:p>
    <w:p w14:paraId="100C24BE">
      <w:pPr>
        <w:spacing w:line="460" w:lineRule="exact"/>
        <w:ind w:firstLine="2289" w:firstLineChars="950"/>
        <w:rPr>
          <w:rFonts w:ascii="宋体" w:hAnsi="宋体" w:cs="宋体"/>
          <w:b/>
          <w:bCs/>
          <w:sz w:val="24"/>
          <w:szCs w:val="24"/>
        </w:rPr>
      </w:pPr>
    </w:p>
    <w:p w14:paraId="100C24BF">
      <w:pPr>
        <w:snapToGrid w:val="0"/>
        <w:spacing w:line="460" w:lineRule="exact"/>
        <w:jc w:val="center"/>
        <w:outlineLvl w:val="4"/>
        <w:rPr>
          <w:rFonts w:ascii="宋体" w:hAnsi="宋体" w:cs="宋体"/>
          <w:b/>
          <w:bCs/>
          <w:sz w:val="28"/>
          <w:szCs w:val="28"/>
        </w:rPr>
      </w:pPr>
      <w:r>
        <w:rPr>
          <w:rFonts w:hint="eastAsia" w:ascii="宋体" w:hAnsi="宋体" w:cs="宋体"/>
          <w:b/>
          <w:bCs/>
          <w:sz w:val="24"/>
          <w:szCs w:val="24"/>
        </w:rPr>
        <w:br w:type="page"/>
      </w:r>
      <w:r>
        <w:rPr>
          <w:rFonts w:hint="eastAsia" w:ascii="宋体" w:hAnsi="宋体" w:cs="宋体"/>
          <w:b/>
          <w:bCs/>
          <w:sz w:val="28"/>
          <w:szCs w:val="28"/>
        </w:rPr>
        <w:t>4.关于资格文件的声明函</w:t>
      </w:r>
    </w:p>
    <w:p w14:paraId="3E14C57E">
      <w:pPr>
        <w:adjustRightInd w:val="0"/>
        <w:snapToGrid w:val="0"/>
        <w:spacing w:line="460" w:lineRule="exact"/>
        <w:jc w:val="left"/>
        <w:rPr>
          <w:rFonts w:hint="eastAsia" w:ascii="宋体" w:hAnsi="宋体" w:cs="宋体"/>
          <w:sz w:val="28"/>
          <w:szCs w:val="28"/>
          <w:lang w:eastAsia="zh-CN"/>
        </w:rPr>
      </w:pPr>
    </w:p>
    <w:p w14:paraId="100C24C0">
      <w:pPr>
        <w:adjustRightInd w:val="0"/>
        <w:snapToGrid w:val="0"/>
        <w:spacing w:line="460" w:lineRule="exact"/>
        <w:jc w:val="left"/>
        <w:rPr>
          <w:rFonts w:ascii="宋体" w:hAnsi="宋体" w:cs="宋体"/>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C1">
      <w:pPr>
        <w:overflowPunct w:val="0"/>
        <w:adjustRightInd w:val="0"/>
        <w:spacing w:line="460" w:lineRule="exact"/>
        <w:ind w:firstLine="660"/>
        <w:jc w:val="left"/>
        <w:textAlignment w:val="baseline"/>
        <w:rPr>
          <w:rFonts w:ascii="宋体" w:hAnsi="宋体" w:cs="宋体"/>
          <w:sz w:val="24"/>
          <w:szCs w:val="24"/>
        </w:rPr>
      </w:pPr>
      <w:r>
        <w:rPr>
          <w:rFonts w:hint="eastAsia" w:ascii="宋体" w:hAnsi="宋体" w:cs="宋体"/>
          <w:sz w:val="24"/>
          <w:szCs w:val="24"/>
        </w:rPr>
        <w:t>本公司愿就由贵单位组织实施的</w:t>
      </w:r>
      <w:r>
        <w:rPr>
          <w:rFonts w:hint="eastAsia" w:ascii="宋体" w:hAnsi="宋体" w:cs="宋体"/>
          <w:sz w:val="24"/>
          <w:szCs w:val="24"/>
          <w:u w:val="single"/>
        </w:rPr>
        <w:t xml:space="preserve">                        </w:t>
      </w:r>
      <w:r>
        <w:rPr>
          <w:rFonts w:hint="eastAsia" w:ascii="宋体" w:hAnsi="宋体" w:cs="宋体"/>
          <w:sz w:val="24"/>
          <w:szCs w:val="24"/>
        </w:rPr>
        <w:t>（招标项目名称及项目编号）的招标活动进行投标。本公司所提交的投标文件中所有关于投标资格的文件、证明和陈述均是真实的、准确的。若与真实情况不符，本公司愿意承担由此而产生的一切后果。</w:t>
      </w:r>
    </w:p>
    <w:p w14:paraId="100C24C2">
      <w:pPr>
        <w:overflowPunct w:val="0"/>
        <w:adjustRightInd w:val="0"/>
        <w:spacing w:line="460" w:lineRule="exact"/>
        <w:ind w:firstLine="420"/>
        <w:jc w:val="left"/>
        <w:textAlignment w:val="baseline"/>
        <w:rPr>
          <w:rFonts w:ascii="宋体" w:hAnsi="宋体" w:cs="宋体"/>
          <w:sz w:val="24"/>
          <w:szCs w:val="24"/>
        </w:rPr>
      </w:pPr>
    </w:p>
    <w:p w14:paraId="100C24C3">
      <w:pPr>
        <w:overflowPunct w:val="0"/>
        <w:adjustRightInd w:val="0"/>
        <w:spacing w:line="460" w:lineRule="exact"/>
        <w:ind w:firstLine="420"/>
        <w:jc w:val="left"/>
        <w:textAlignment w:val="baseline"/>
        <w:rPr>
          <w:rFonts w:ascii="宋体" w:hAnsi="宋体" w:cs="宋体"/>
          <w:sz w:val="24"/>
          <w:szCs w:val="24"/>
        </w:rPr>
      </w:pPr>
    </w:p>
    <w:p w14:paraId="100C24C4">
      <w:pPr>
        <w:spacing w:line="460" w:lineRule="exact"/>
        <w:ind w:firstLine="480" w:firstLineChars="200"/>
        <w:jc w:val="right"/>
        <w:rPr>
          <w:rFonts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w:t>
      </w:r>
      <w:r>
        <w:rPr>
          <w:rFonts w:hint="eastAsia" w:ascii="宋体" w:hAnsi="宋体" w:cs="宋体"/>
          <w:sz w:val="24"/>
          <w:szCs w:val="24"/>
        </w:rPr>
        <w:t>（加盖公章）</w:t>
      </w:r>
    </w:p>
    <w:p w14:paraId="100C24C5">
      <w:pPr>
        <w:spacing w:line="460" w:lineRule="exact"/>
        <w:ind w:firstLine="480" w:firstLineChars="200"/>
        <w:jc w:val="right"/>
        <w:rPr>
          <w:rFonts w:ascii="宋体" w:hAnsi="宋体" w:cs="宋体"/>
          <w:sz w:val="24"/>
          <w:szCs w:val="24"/>
        </w:rPr>
      </w:pPr>
      <w:r>
        <w:rPr>
          <w:rFonts w:hint="eastAsia" w:ascii="宋体" w:hAnsi="宋体" w:cs="宋体"/>
          <w:sz w:val="24"/>
          <w:szCs w:val="24"/>
        </w:rPr>
        <w:t>法定代表人或被授权人：</w:t>
      </w:r>
      <w:r>
        <w:rPr>
          <w:rFonts w:hint="eastAsia" w:ascii="宋体" w:hAnsi="宋体" w:cs="宋体"/>
          <w:sz w:val="24"/>
          <w:szCs w:val="24"/>
          <w:u w:val="single"/>
        </w:rPr>
        <w:t xml:space="preserve">          </w:t>
      </w:r>
      <w:r>
        <w:rPr>
          <w:rFonts w:hint="eastAsia" w:ascii="宋体" w:hAnsi="宋体" w:cs="宋体"/>
          <w:sz w:val="24"/>
          <w:szCs w:val="24"/>
        </w:rPr>
        <w:t>（签字或盖章）</w:t>
      </w:r>
    </w:p>
    <w:p w14:paraId="100C24C6">
      <w:pPr>
        <w:spacing w:line="460" w:lineRule="exact"/>
        <w:ind w:firstLine="1320" w:firstLineChars="550"/>
        <w:jc w:val="right"/>
        <w:rPr>
          <w:rFonts w:ascii="宋体" w:hAnsi="宋体" w:cs="宋体"/>
          <w:sz w:val="24"/>
          <w:szCs w:val="24"/>
        </w:rPr>
      </w:pPr>
      <w:r>
        <w:rPr>
          <w:rFonts w:hint="eastAsia" w:ascii="宋体" w:hAnsi="宋体" w:cs="宋体"/>
          <w:sz w:val="24"/>
          <w:szCs w:val="24"/>
        </w:rPr>
        <w:t>年      月     日</w:t>
      </w:r>
    </w:p>
    <w:p w14:paraId="100C24C7">
      <w:pPr>
        <w:snapToGrid w:val="0"/>
        <w:spacing w:line="460" w:lineRule="exact"/>
        <w:jc w:val="center"/>
        <w:outlineLvl w:val="1"/>
        <w:rPr>
          <w:rFonts w:ascii="宋体" w:hAnsi="宋体" w:cs="宋体"/>
          <w:b/>
          <w:bCs/>
          <w:sz w:val="24"/>
          <w:szCs w:val="24"/>
        </w:rPr>
      </w:pPr>
    </w:p>
    <w:p w14:paraId="100C24C8">
      <w:pPr>
        <w:snapToGrid w:val="0"/>
        <w:spacing w:line="460" w:lineRule="exact"/>
        <w:jc w:val="center"/>
        <w:outlineLvl w:val="1"/>
        <w:rPr>
          <w:rFonts w:ascii="宋体" w:hAnsi="宋体" w:cs="宋体"/>
          <w:b/>
          <w:bCs/>
          <w:sz w:val="28"/>
          <w:szCs w:val="28"/>
        </w:rPr>
      </w:pPr>
    </w:p>
    <w:p w14:paraId="100C24C9">
      <w:pPr>
        <w:snapToGrid w:val="0"/>
        <w:spacing w:line="460" w:lineRule="exact"/>
        <w:jc w:val="center"/>
        <w:outlineLvl w:val="1"/>
        <w:rPr>
          <w:rFonts w:ascii="宋体" w:hAnsi="宋体" w:cs="宋体"/>
          <w:b/>
          <w:bCs/>
          <w:sz w:val="28"/>
          <w:szCs w:val="28"/>
        </w:rPr>
      </w:pPr>
    </w:p>
    <w:p w14:paraId="100C24CA">
      <w:pPr>
        <w:snapToGrid w:val="0"/>
        <w:spacing w:line="460" w:lineRule="exact"/>
        <w:jc w:val="center"/>
        <w:outlineLvl w:val="1"/>
        <w:rPr>
          <w:rFonts w:ascii="宋体" w:hAnsi="宋体" w:cs="宋体"/>
          <w:b/>
          <w:bCs/>
          <w:sz w:val="28"/>
          <w:szCs w:val="28"/>
        </w:rPr>
      </w:pPr>
    </w:p>
    <w:p w14:paraId="100C24CB">
      <w:pPr>
        <w:snapToGrid w:val="0"/>
        <w:spacing w:line="460" w:lineRule="exact"/>
        <w:jc w:val="center"/>
        <w:outlineLvl w:val="1"/>
        <w:rPr>
          <w:rFonts w:ascii="宋体" w:hAnsi="宋体" w:cs="宋体"/>
          <w:b/>
          <w:bCs/>
          <w:sz w:val="28"/>
          <w:szCs w:val="28"/>
        </w:rPr>
      </w:pPr>
    </w:p>
    <w:p w14:paraId="100C24CC">
      <w:pPr>
        <w:snapToGrid w:val="0"/>
        <w:spacing w:line="460" w:lineRule="exact"/>
        <w:jc w:val="center"/>
        <w:outlineLvl w:val="1"/>
        <w:rPr>
          <w:rFonts w:ascii="宋体" w:hAnsi="宋体" w:cs="宋体"/>
          <w:b/>
          <w:bCs/>
          <w:sz w:val="28"/>
          <w:szCs w:val="28"/>
        </w:rPr>
      </w:pPr>
    </w:p>
    <w:p w14:paraId="100C24CD">
      <w:pPr>
        <w:rPr>
          <w:rFonts w:ascii="宋体" w:hAnsi="宋体" w:cs="宋体"/>
          <w:b/>
          <w:bCs/>
          <w:sz w:val="28"/>
          <w:szCs w:val="28"/>
        </w:rPr>
      </w:pPr>
      <w:r>
        <w:rPr>
          <w:rFonts w:hint="eastAsia" w:ascii="宋体" w:hAnsi="宋体" w:cs="宋体"/>
          <w:b/>
          <w:bCs/>
          <w:sz w:val="28"/>
          <w:szCs w:val="28"/>
        </w:rPr>
        <w:br w:type="page"/>
      </w:r>
    </w:p>
    <w:p w14:paraId="100C24CE">
      <w:pPr>
        <w:spacing w:line="460" w:lineRule="exact"/>
        <w:jc w:val="center"/>
        <w:rPr>
          <w:rFonts w:ascii="宋体" w:hAnsi="宋体" w:cs="宋体"/>
          <w:b/>
          <w:bCs/>
          <w:sz w:val="28"/>
          <w:szCs w:val="28"/>
        </w:rPr>
      </w:pPr>
      <w:r>
        <w:rPr>
          <w:rFonts w:hint="eastAsia" w:ascii="宋体" w:hAnsi="宋体" w:cs="宋体"/>
          <w:b/>
          <w:bCs/>
          <w:sz w:val="28"/>
          <w:szCs w:val="28"/>
        </w:rPr>
        <w:t>5.投标响应函</w:t>
      </w:r>
    </w:p>
    <w:p w14:paraId="478BD498">
      <w:pPr>
        <w:spacing w:line="460" w:lineRule="exact"/>
        <w:rPr>
          <w:rFonts w:hint="eastAsia" w:ascii="宋体" w:hAnsi="宋体" w:cs="宋体"/>
          <w:sz w:val="24"/>
          <w:szCs w:val="24"/>
          <w:lang w:eastAsia="zh-CN"/>
        </w:rPr>
      </w:pPr>
    </w:p>
    <w:p w14:paraId="100C24CF">
      <w:pPr>
        <w:spacing w:line="460" w:lineRule="exact"/>
        <w:rPr>
          <w:rFonts w:ascii="宋体" w:hAnsi="宋体" w:cs="宋体"/>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D0">
      <w:pPr>
        <w:spacing w:line="460" w:lineRule="exact"/>
        <w:ind w:firstLine="480" w:firstLineChars="200"/>
        <w:rPr>
          <w:rFonts w:ascii="宋体" w:hAnsi="宋体" w:cs="宋体"/>
          <w:sz w:val="24"/>
          <w:szCs w:val="24"/>
        </w:rPr>
      </w:pPr>
      <w:r>
        <w:rPr>
          <w:rFonts w:hint="eastAsia" w:ascii="宋体" w:hAnsi="宋体" w:cs="宋体"/>
          <w:sz w:val="24"/>
          <w:szCs w:val="24"/>
        </w:rPr>
        <w:t>依据贵单位</w:t>
      </w:r>
      <w:r>
        <w:rPr>
          <w:rFonts w:hint="eastAsia" w:ascii="宋体" w:hAnsi="宋体" w:cs="宋体"/>
          <w:sz w:val="24"/>
          <w:szCs w:val="24"/>
          <w:u w:val="single"/>
        </w:rPr>
        <w:t xml:space="preserve">                       </w:t>
      </w:r>
      <w:r>
        <w:rPr>
          <w:rFonts w:hint="eastAsia" w:ascii="宋体" w:hAnsi="宋体" w:cs="宋体"/>
          <w:sz w:val="24"/>
          <w:szCs w:val="24"/>
        </w:rPr>
        <w:t xml:space="preserve">（投标项目名称及项目编号）项目招标的邀请，我方授权 </w:t>
      </w:r>
      <w:r>
        <w:rPr>
          <w:rFonts w:hint="eastAsia" w:ascii="宋体" w:hAnsi="宋体" w:cs="宋体"/>
          <w:sz w:val="24"/>
          <w:szCs w:val="24"/>
          <w:u w:val="single"/>
        </w:rPr>
        <w:t xml:space="preserve">      </w:t>
      </w:r>
      <w:r>
        <w:rPr>
          <w:rFonts w:hint="eastAsia" w:ascii="宋体" w:hAnsi="宋体" w:cs="宋体"/>
          <w:sz w:val="24"/>
          <w:szCs w:val="24"/>
        </w:rPr>
        <w:t>（姓名）</w:t>
      </w:r>
      <w:r>
        <w:rPr>
          <w:rFonts w:hint="eastAsia" w:ascii="宋体" w:hAnsi="宋体" w:cs="宋体"/>
          <w:sz w:val="24"/>
          <w:szCs w:val="24"/>
          <w:u w:val="single"/>
        </w:rPr>
        <w:t xml:space="preserve">     </w:t>
      </w:r>
      <w:r>
        <w:rPr>
          <w:rFonts w:hint="eastAsia" w:ascii="宋体" w:hAnsi="宋体" w:cs="宋体"/>
          <w:sz w:val="24"/>
          <w:szCs w:val="24"/>
        </w:rPr>
        <w:t>（职务）为全权代表参加该项目的投标工作，全权处理本次招标的有关事宜。同时，我公司声明如下：</w:t>
      </w:r>
    </w:p>
    <w:p w14:paraId="100C24D1">
      <w:pPr>
        <w:spacing w:line="460" w:lineRule="exact"/>
        <w:ind w:firstLine="480" w:firstLineChars="200"/>
        <w:rPr>
          <w:rFonts w:ascii="宋体" w:hAnsi="宋体" w:cs="宋体"/>
          <w:sz w:val="24"/>
          <w:szCs w:val="24"/>
        </w:rPr>
      </w:pPr>
      <w:r>
        <w:rPr>
          <w:rFonts w:hint="eastAsia" w:ascii="宋体" w:hAnsi="宋体" w:cs="宋体"/>
          <w:sz w:val="24"/>
          <w:szCs w:val="24"/>
        </w:rPr>
        <w:t>1.同意并接受招标文件的各项要求，遵守招标文件中的各项规定，按招标文件的要求提供报价。</w:t>
      </w:r>
    </w:p>
    <w:p w14:paraId="100C24D2">
      <w:pPr>
        <w:spacing w:line="460" w:lineRule="exact"/>
        <w:ind w:firstLine="480" w:firstLineChars="200"/>
        <w:rPr>
          <w:rFonts w:ascii="宋体" w:hAnsi="宋体" w:cs="宋体"/>
          <w:sz w:val="24"/>
          <w:szCs w:val="24"/>
        </w:rPr>
      </w:pPr>
      <w:r>
        <w:rPr>
          <w:rFonts w:hint="eastAsia" w:ascii="宋体" w:hAnsi="宋体" w:cs="宋体"/>
          <w:sz w:val="24"/>
          <w:szCs w:val="24"/>
        </w:rPr>
        <w:t>2.我方已经详细阅读了全部招标文件及其附件，完全清晰理解招标文件的要求，不存在任何含糊不清和误解之处，同意放弃对这些文件所提出的异议和质疑的权利。</w:t>
      </w:r>
    </w:p>
    <w:p w14:paraId="100C24D3">
      <w:pPr>
        <w:spacing w:line="460" w:lineRule="exact"/>
        <w:ind w:firstLine="480" w:firstLineChars="200"/>
        <w:rPr>
          <w:rFonts w:ascii="宋体" w:hAnsi="宋体" w:cs="宋体"/>
          <w:sz w:val="24"/>
          <w:szCs w:val="24"/>
        </w:rPr>
      </w:pPr>
      <w:r>
        <w:rPr>
          <w:rFonts w:hint="eastAsia" w:ascii="宋体" w:hAnsi="宋体" w:cs="宋体"/>
          <w:sz w:val="24"/>
          <w:szCs w:val="24"/>
        </w:rPr>
        <w:t>3.我方已毫无保留地向贵方提供一切所需的证明材料。</w:t>
      </w:r>
    </w:p>
    <w:p w14:paraId="100C24D4">
      <w:pPr>
        <w:spacing w:line="460" w:lineRule="exact"/>
        <w:ind w:firstLine="480" w:firstLineChars="200"/>
        <w:rPr>
          <w:rFonts w:ascii="宋体" w:hAnsi="宋体" w:cs="宋体"/>
          <w:sz w:val="24"/>
          <w:szCs w:val="24"/>
        </w:rPr>
      </w:pPr>
      <w:r>
        <w:rPr>
          <w:rFonts w:hint="eastAsia" w:ascii="宋体" w:hAnsi="宋体" w:cs="宋体"/>
          <w:sz w:val="24"/>
          <w:szCs w:val="24"/>
        </w:rPr>
        <w:t>4.我公司承诺在本次投标响应中提供的一切文件，无论是原件还是复印件均真实有效，绝无任何虚假、伪造和夸大的成分。否则，愿承担相应的后果和法律责任。</w:t>
      </w:r>
    </w:p>
    <w:p w14:paraId="100C24D5">
      <w:pPr>
        <w:spacing w:line="460" w:lineRule="exact"/>
        <w:ind w:firstLine="480" w:firstLineChars="200"/>
        <w:rPr>
          <w:rFonts w:ascii="宋体" w:hAnsi="宋体" w:cs="宋体"/>
          <w:sz w:val="24"/>
          <w:szCs w:val="24"/>
        </w:rPr>
      </w:pPr>
      <w:r>
        <w:rPr>
          <w:rFonts w:hint="eastAsia" w:ascii="宋体" w:hAnsi="宋体" w:cs="宋体"/>
          <w:sz w:val="24"/>
          <w:szCs w:val="24"/>
        </w:rPr>
        <w:t>5.我方完全尊重评标委员会所作的评定结果。</w:t>
      </w:r>
    </w:p>
    <w:p w14:paraId="100C24D6">
      <w:pPr>
        <w:spacing w:line="460" w:lineRule="exact"/>
        <w:ind w:firstLine="480" w:firstLineChars="200"/>
        <w:rPr>
          <w:rFonts w:ascii="宋体" w:hAnsi="宋体" w:cs="宋体"/>
          <w:sz w:val="24"/>
          <w:szCs w:val="24"/>
        </w:rPr>
      </w:pPr>
      <w:r>
        <w:rPr>
          <w:rFonts w:hint="eastAsia" w:ascii="宋体" w:hAnsi="宋体" w:cs="宋体"/>
          <w:sz w:val="24"/>
          <w:szCs w:val="24"/>
        </w:rPr>
        <w:t>6.一旦我方中标，我方将根据招标文件的规定，严格按要求签订并履行合同的责任和义务。</w:t>
      </w:r>
    </w:p>
    <w:p w14:paraId="100C24D7">
      <w:pPr>
        <w:spacing w:line="460" w:lineRule="exact"/>
        <w:ind w:firstLine="480" w:firstLineChars="200"/>
        <w:rPr>
          <w:rFonts w:ascii="宋体" w:hAnsi="宋体" w:cs="宋体"/>
          <w:sz w:val="24"/>
          <w:szCs w:val="24"/>
        </w:rPr>
      </w:pPr>
    </w:p>
    <w:p w14:paraId="100C24D8">
      <w:pPr>
        <w:spacing w:line="460" w:lineRule="exact"/>
        <w:ind w:firstLine="480" w:firstLineChars="200"/>
        <w:rPr>
          <w:rFonts w:ascii="宋体" w:hAnsi="宋体" w:cs="宋体"/>
          <w:sz w:val="24"/>
          <w:szCs w:val="24"/>
        </w:rPr>
      </w:pPr>
    </w:p>
    <w:p w14:paraId="100C24D9">
      <w:pPr>
        <w:spacing w:line="460" w:lineRule="exact"/>
        <w:ind w:firstLine="480" w:firstLineChars="200"/>
        <w:jc w:val="right"/>
        <w:rPr>
          <w:rFonts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w:t>
      </w:r>
      <w:r>
        <w:rPr>
          <w:rFonts w:hint="eastAsia" w:ascii="宋体" w:hAnsi="宋体" w:cs="宋体"/>
          <w:sz w:val="24"/>
          <w:szCs w:val="24"/>
        </w:rPr>
        <w:t>（加盖公章）</w:t>
      </w:r>
    </w:p>
    <w:p w14:paraId="100C24DA">
      <w:pPr>
        <w:spacing w:line="460" w:lineRule="exact"/>
        <w:ind w:firstLine="480" w:firstLineChars="200"/>
        <w:jc w:val="right"/>
        <w:rPr>
          <w:rFonts w:ascii="宋体" w:hAnsi="宋体" w:cs="宋体"/>
          <w:sz w:val="24"/>
          <w:szCs w:val="24"/>
        </w:rPr>
      </w:pPr>
      <w:r>
        <w:rPr>
          <w:rFonts w:hint="eastAsia" w:ascii="宋体" w:hAnsi="宋体" w:cs="宋体"/>
          <w:sz w:val="24"/>
          <w:szCs w:val="24"/>
        </w:rPr>
        <w:t>法定代表人或被授权人：</w:t>
      </w:r>
      <w:r>
        <w:rPr>
          <w:rFonts w:hint="eastAsia" w:ascii="宋体" w:hAnsi="宋体" w:cs="宋体"/>
          <w:sz w:val="24"/>
          <w:szCs w:val="24"/>
          <w:u w:val="single"/>
        </w:rPr>
        <w:t xml:space="preserve">          </w:t>
      </w:r>
      <w:r>
        <w:rPr>
          <w:rFonts w:hint="eastAsia" w:ascii="宋体" w:hAnsi="宋体" w:cs="宋体"/>
          <w:sz w:val="24"/>
          <w:szCs w:val="24"/>
        </w:rPr>
        <w:t>（签字或盖章）</w:t>
      </w:r>
    </w:p>
    <w:p w14:paraId="100C24DB">
      <w:pPr>
        <w:spacing w:line="460" w:lineRule="exact"/>
        <w:ind w:firstLine="3360" w:firstLineChars="1400"/>
        <w:jc w:val="left"/>
        <w:rPr>
          <w:rFonts w:ascii="宋体" w:hAnsi="宋体" w:cs="宋体"/>
          <w:sz w:val="24"/>
          <w:szCs w:val="24"/>
        </w:rPr>
      </w:pPr>
      <w:r>
        <w:rPr>
          <w:rFonts w:hint="eastAsia" w:ascii="宋体" w:hAnsi="宋体" w:cs="宋体"/>
          <w:sz w:val="24"/>
          <w:szCs w:val="24"/>
        </w:rPr>
        <w:t>年      月     日</w:t>
      </w:r>
      <w:bookmarkEnd w:id="5"/>
    </w:p>
    <w:p w14:paraId="100C24DC">
      <w:pPr>
        <w:rPr>
          <w:rFonts w:ascii="宋体" w:hAnsi="宋体" w:cs="宋体"/>
          <w:sz w:val="28"/>
          <w:szCs w:val="28"/>
        </w:rPr>
      </w:pPr>
    </w:p>
    <w:p w14:paraId="100C24DD">
      <w:pPr>
        <w:rPr>
          <w:rFonts w:ascii="宋体" w:hAnsi="宋体" w:cs="宋体"/>
          <w:sz w:val="28"/>
          <w:szCs w:val="28"/>
        </w:rPr>
      </w:pPr>
    </w:p>
    <w:p w14:paraId="100C24DE">
      <w:pPr>
        <w:rPr>
          <w:rFonts w:ascii="宋体" w:hAnsi="宋体" w:cs="宋体"/>
          <w:sz w:val="28"/>
          <w:szCs w:val="28"/>
        </w:rPr>
      </w:pPr>
    </w:p>
    <w:p w14:paraId="100C24DF">
      <w:pPr>
        <w:spacing w:line="520" w:lineRule="exact"/>
        <w:jc w:val="center"/>
        <w:outlineLvl w:val="3"/>
        <w:rPr>
          <w:rFonts w:ascii="宋体" w:hAnsi="宋体" w:cs="宋体"/>
          <w:b/>
          <w:bCs/>
          <w:sz w:val="28"/>
          <w:szCs w:val="28"/>
        </w:rPr>
      </w:pPr>
    </w:p>
    <w:p w14:paraId="100C24E0">
      <w:pPr>
        <w:spacing w:before="159" w:beforeLines="50" w:after="159" w:afterLines="50" w:line="500" w:lineRule="exact"/>
        <w:jc w:val="center"/>
        <w:outlineLvl w:val="2"/>
        <w:rPr>
          <w:rFonts w:ascii="宋体" w:hAnsi="宋体" w:cs="宋体"/>
          <w:b/>
          <w:bCs/>
          <w:sz w:val="28"/>
          <w:szCs w:val="28"/>
        </w:rPr>
        <w:sectPr>
          <w:pgSz w:w="11906" w:h="16838"/>
          <w:pgMar w:top="1440" w:right="1803" w:bottom="1440" w:left="1803" w:header="851" w:footer="992" w:gutter="0"/>
          <w:cols w:space="0" w:num="1"/>
          <w:docGrid w:type="lines" w:linePitch="319" w:charSpace="0"/>
        </w:sectPr>
      </w:pPr>
    </w:p>
    <w:p w14:paraId="100C24E1">
      <w:pPr>
        <w:spacing w:line="360" w:lineRule="auto"/>
        <w:jc w:val="center"/>
        <w:outlineLvl w:val="2"/>
        <w:rPr>
          <w:rFonts w:hAnsi="宋体" w:cs="宋体"/>
          <w:b/>
          <w:sz w:val="28"/>
          <w:szCs w:val="28"/>
        </w:rPr>
      </w:pPr>
      <w:r>
        <w:rPr>
          <w:rFonts w:hint="eastAsia" w:hAnsi="宋体" w:cs="宋体"/>
          <w:b/>
          <w:sz w:val="28"/>
          <w:szCs w:val="28"/>
        </w:rPr>
        <w:t>6.无重大违法记录声明</w:t>
      </w:r>
    </w:p>
    <w:p w14:paraId="12B35A75">
      <w:pPr>
        <w:snapToGrid w:val="0"/>
        <w:spacing w:line="360" w:lineRule="auto"/>
        <w:rPr>
          <w:rFonts w:hint="eastAsia" w:ascii="宋体" w:hAnsi="宋体" w:cs="宋体"/>
          <w:sz w:val="28"/>
          <w:szCs w:val="28"/>
          <w:lang w:eastAsia="zh-CN"/>
        </w:rPr>
      </w:pPr>
    </w:p>
    <w:p w14:paraId="100C24E2">
      <w:pPr>
        <w:snapToGrid w:val="0"/>
        <w:spacing w:line="360" w:lineRule="auto"/>
        <w:rPr>
          <w:rFonts w:hAnsi="宋体" w:cs="宋体"/>
          <w:bCs/>
          <w:sz w:val="24"/>
          <w:szCs w:val="24"/>
        </w:rPr>
      </w:pPr>
      <w:r>
        <w:rPr>
          <w:rFonts w:hint="eastAsia" w:ascii="宋体" w:hAnsi="宋体" w:cs="宋体"/>
          <w:sz w:val="24"/>
          <w:szCs w:val="24"/>
          <w:lang w:eastAsia="zh-CN"/>
        </w:rPr>
        <w:t>南通师范高等专科学校</w:t>
      </w:r>
      <w:r>
        <w:rPr>
          <w:rFonts w:hint="eastAsia" w:hAnsi="宋体" w:cs="宋体"/>
          <w:bCs/>
          <w:sz w:val="24"/>
          <w:szCs w:val="24"/>
        </w:rPr>
        <w:t>：</w:t>
      </w:r>
    </w:p>
    <w:p w14:paraId="100C24E3">
      <w:pPr>
        <w:snapToGrid w:val="0"/>
        <w:spacing w:line="360" w:lineRule="auto"/>
        <w:ind w:firstLine="480" w:firstLineChars="200"/>
        <w:rPr>
          <w:rFonts w:hAnsi="宋体" w:cs="宋体"/>
          <w:sz w:val="24"/>
          <w:szCs w:val="24"/>
        </w:rPr>
      </w:pPr>
      <w:r>
        <w:rPr>
          <w:rFonts w:hint="eastAsia" w:hAnsi="宋体" w:cs="宋体"/>
          <w:sz w:val="24"/>
          <w:szCs w:val="24"/>
        </w:rPr>
        <w:t>我公司郑重声明：参加本次采购活动前</w:t>
      </w:r>
      <w:r>
        <w:rPr>
          <w:rFonts w:hint="eastAsia" w:hAnsi="宋体" w:cs="宋体"/>
          <w:sz w:val="24"/>
          <w:szCs w:val="24"/>
          <w:u w:val="single"/>
        </w:rPr>
        <w:t xml:space="preserve"> 3 </w:t>
      </w:r>
      <w:r>
        <w:rPr>
          <w:rFonts w:hint="eastAsia" w:hAnsi="宋体" w:cs="宋体"/>
          <w:sz w:val="24"/>
          <w:szCs w:val="24"/>
        </w:rPr>
        <w:t>年内，我公司在经营活动中</w:t>
      </w:r>
      <w:r>
        <w:rPr>
          <w:rFonts w:hint="eastAsia" w:hAnsi="宋体" w:cs="宋体"/>
          <w:b/>
          <w:bCs/>
          <w:sz w:val="24"/>
          <w:szCs w:val="24"/>
          <w:u w:val="single"/>
        </w:rPr>
        <w:t>没有</w:t>
      </w:r>
      <w:r>
        <w:rPr>
          <w:rFonts w:hint="eastAsia" w:hAnsi="宋体" w:cs="宋体"/>
          <w:sz w:val="24"/>
          <w:szCs w:val="24"/>
        </w:rPr>
        <w:t>因违法经营受到刑事处罚或者责令停产停业、吊销许可证或者执照、较大数额罚款等行政处罚。</w:t>
      </w:r>
    </w:p>
    <w:p w14:paraId="100C24E4">
      <w:pPr>
        <w:snapToGrid w:val="0"/>
        <w:spacing w:line="360" w:lineRule="auto"/>
        <w:ind w:firstLine="480" w:firstLineChars="200"/>
        <w:rPr>
          <w:rFonts w:hAnsi="宋体" w:cs="宋体"/>
          <w:sz w:val="24"/>
          <w:szCs w:val="24"/>
        </w:rPr>
      </w:pPr>
      <w:r>
        <w:rPr>
          <w:rFonts w:hint="eastAsia" w:hAnsi="宋体" w:cs="宋体"/>
          <w:sz w:val="24"/>
          <w:szCs w:val="24"/>
        </w:rPr>
        <w:t>在</w:t>
      </w:r>
      <w:r>
        <w:rPr>
          <w:rFonts w:hint="eastAsia" w:hAnsi="宋体" w:cs="宋体"/>
          <w:sz w:val="24"/>
          <w:szCs w:val="24"/>
          <w:lang w:val="en-US" w:eastAsia="zh-CN"/>
        </w:rPr>
        <w:t>投标</w:t>
      </w:r>
      <w:r>
        <w:rPr>
          <w:rFonts w:hint="eastAsia" w:hAnsi="宋体" w:cs="宋体"/>
          <w:sz w:val="24"/>
          <w:szCs w:val="24"/>
        </w:rPr>
        <w:t>截止时间节点，没有被</w:t>
      </w:r>
      <w:r>
        <w:rPr>
          <w:rFonts w:hint="eastAsia" w:hAnsi="宋体" w:cs="宋体"/>
          <w:sz w:val="24"/>
          <w:szCs w:val="28"/>
        </w:rPr>
        <w:t>“信用中国”</w:t>
      </w:r>
      <w:r>
        <w:rPr>
          <w:rFonts w:hint="eastAsia" w:hAnsi="宋体" w:cs="宋体"/>
          <w:sz w:val="24"/>
          <w:szCs w:val="24"/>
        </w:rPr>
        <w:t>网站列入失信被执行人、重大税收违法案件当事人名单、采购严重违法失信行为记录名单。</w:t>
      </w:r>
      <w:r>
        <w:rPr>
          <w:rFonts w:hint="eastAsia" w:hAnsi="宋体" w:cs="宋体"/>
          <w:spacing w:val="7"/>
          <w:sz w:val="24"/>
          <w:szCs w:val="24"/>
          <w:shd w:val="clear" w:color="auto" w:fill="FFFFFF"/>
        </w:rPr>
        <w:t>未被 “中国政府采购网” 列入政府采购严重违法失信行为记录名单。</w:t>
      </w:r>
    </w:p>
    <w:p w14:paraId="100C24E5">
      <w:pPr>
        <w:tabs>
          <w:tab w:val="left" w:pos="5325"/>
        </w:tabs>
        <w:snapToGrid w:val="0"/>
        <w:spacing w:line="360" w:lineRule="auto"/>
        <w:ind w:firstLine="480" w:firstLineChars="200"/>
        <w:contextualSpacing/>
        <w:rPr>
          <w:rFonts w:hAnsi="宋体" w:cs="宋体"/>
          <w:bCs/>
          <w:sz w:val="24"/>
          <w:szCs w:val="24"/>
        </w:rPr>
      </w:pPr>
      <w:r>
        <w:rPr>
          <w:rFonts w:hint="eastAsia" w:hAnsi="宋体" w:cs="宋体"/>
          <w:bCs/>
          <w:sz w:val="24"/>
          <w:szCs w:val="24"/>
        </w:rPr>
        <w:t>近三年未被行业主管部门处罚过。</w:t>
      </w:r>
    </w:p>
    <w:p w14:paraId="100C24E6">
      <w:pPr>
        <w:snapToGrid w:val="0"/>
        <w:spacing w:line="360" w:lineRule="auto"/>
        <w:ind w:firstLine="200"/>
        <w:rPr>
          <w:rFonts w:hAnsi="宋体" w:cs="宋体"/>
          <w:sz w:val="24"/>
          <w:szCs w:val="24"/>
        </w:rPr>
      </w:pPr>
    </w:p>
    <w:p w14:paraId="100C24E7">
      <w:pPr>
        <w:snapToGrid w:val="0"/>
        <w:spacing w:line="480" w:lineRule="auto"/>
        <w:ind w:right="720" w:firstLine="480" w:firstLineChars="200"/>
        <w:contextualSpacing/>
        <w:jc w:val="right"/>
        <w:rPr>
          <w:rFonts w:hAnsi="宋体" w:cs="宋体"/>
          <w:sz w:val="24"/>
          <w:szCs w:val="24"/>
          <w:u w:val="single"/>
        </w:rPr>
      </w:pPr>
      <w:r>
        <w:rPr>
          <w:rFonts w:hint="eastAsia" w:hAnsi="宋体" w:cs="宋体"/>
          <w:sz w:val="24"/>
          <w:szCs w:val="24"/>
        </w:rPr>
        <w:t>法定代表人或授权委托人签字：</w:t>
      </w:r>
    </w:p>
    <w:p w14:paraId="100C24E8">
      <w:pPr>
        <w:snapToGrid w:val="0"/>
        <w:spacing w:line="480" w:lineRule="auto"/>
        <w:ind w:right="720" w:firstLine="480" w:firstLineChars="200"/>
        <w:contextualSpacing/>
        <w:jc w:val="right"/>
        <w:rPr>
          <w:rFonts w:hAnsi="宋体" w:cs="宋体"/>
          <w:sz w:val="24"/>
          <w:szCs w:val="24"/>
        </w:rPr>
      </w:pPr>
      <w:r>
        <w:rPr>
          <w:rFonts w:hint="eastAsia" w:hAnsi="宋体" w:cs="宋体"/>
          <w:sz w:val="24"/>
          <w:szCs w:val="24"/>
        </w:rPr>
        <w:t>供应商名称（盖章）：</w:t>
      </w:r>
    </w:p>
    <w:p w14:paraId="100C24E9">
      <w:pPr>
        <w:snapToGrid w:val="0"/>
        <w:spacing w:line="360" w:lineRule="auto"/>
        <w:ind w:firstLine="480" w:firstLineChars="200"/>
        <w:jc w:val="center"/>
        <w:rPr>
          <w:rFonts w:hAnsi="宋体" w:cs="宋体"/>
          <w:sz w:val="24"/>
          <w:szCs w:val="24"/>
        </w:rPr>
      </w:pPr>
      <w:r>
        <w:rPr>
          <w:rFonts w:hint="eastAsia" w:hAnsi="宋体" w:cs="宋体"/>
          <w:sz w:val="24"/>
          <w:szCs w:val="24"/>
        </w:rPr>
        <w:t xml:space="preserve">                  日期：</w:t>
      </w:r>
    </w:p>
    <w:p w14:paraId="100C24EA">
      <w:pPr>
        <w:spacing w:before="159" w:beforeLines="50" w:after="159" w:afterLines="50" w:line="500" w:lineRule="exact"/>
        <w:jc w:val="center"/>
        <w:outlineLvl w:val="2"/>
        <w:rPr>
          <w:rFonts w:ascii="宋体" w:hAnsi="宋体" w:cs="宋体"/>
          <w:b/>
          <w:bCs/>
          <w:sz w:val="28"/>
          <w:szCs w:val="28"/>
        </w:rPr>
      </w:pPr>
    </w:p>
    <w:p w14:paraId="100C24EB">
      <w:pPr>
        <w:spacing w:before="159" w:beforeLines="50" w:after="159" w:afterLines="50" w:line="500" w:lineRule="exact"/>
        <w:jc w:val="center"/>
        <w:outlineLvl w:val="2"/>
        <w:rPr>
          <w:rFonts w:ascii="宋体" w:hAnsi="宋体" w:cs="宋体"/>
          <w:b/>
          <w:bCs/>
          <w:sz w:val="28"/>
          <w:szCs w:val="28"/>
        </w:rPr>
      </w:pPr>
    </w:p>
    <w:p w14:paraId="100C24EC">
      <w:pPr>
        <w:spacing w:before="159" w:beforeLines="50" w:after="159" w:afterLines="50" w:line="500" w:lineRule="exact"/>
        <w:jc w:val="center"/>
        <w:outlineLvl w:val="2"/>
        <w:rPr>
          <w:rFonts w:ascii="宋体" w:hAnsi="宋体" w:cs="宋体"/>
          <w:b/>
          <w:sz w:val="28"/>
          <w:szCs w:val="28"/>
        </w:rPr>
        <w:sectPr>
          <w:pgSz w:w="11906" w:h="16838"/>
          <w:pgMar w:top="1440" w:right="1803" w:bottom="1440" w:left="1803" w:header="851" w:footer="992" w:gutter="0"/>
          <w:cols w:space="0" w:num="1"/>
          <w:docGrid w:type="lines" w:linePitch="319" w:charSpace="0"/>
        </w:sectPr>
      </w:pPr>
    </w:p>
    <w:p w14:paraId="100C24ED">
      <w:pPr>
        <w:spacing w:before="159" w:beforeLines="50" w:after="159" w:afterLines="50" w:line="460" w:lineRule="exact"/>
        <w:jc w:val="center"/>
        <w:outlineLvl w:val="2"/>
        <w:rPr>
          <w:rFonts w:ascii="宋体" w:hAnsi="宋体" w:cs="宋体"/>
          <w:b/>
          <w:sz w:val="28"/>
          <w:szCs w:val="28"/>
        </w:rPr>
      </w:pPr>
      <w:r>
        <w:rPr>
          <w:rFonts w:hint="eastAsia" w:ascii="宋体" w:hAnsi="宋体" w:cs="宋体"/>
          <w:b/>
          <w:sz w:val="28"/>
          <w:szCs w:val="28"/>
        </w:rPr>
        <w:t>7、食品安全承诺书</w:t>
      </w:r>
    </w:p>
    <w:p w14:paraId="100C24EE">
      <w:pPr>
        <w:spacing w:line="460" w:lineRule="exact"/>
        <w:rPr>
          <w:rFonts w:ascii="宋体" w:hAnsi="宋体" w:cs="宋体"/>
          <w:b/>
          <w:bCs/>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EF">
      <w:pPr>
        <w:spacing w:line="460" w:lineRule="exact"/>
        <w:ind w:firstLine="480" w:firstLineChars="200"/>
        <w:rPr>
          <w:rFonts w:ascii="宋体" w:hAnsi="宋体" w:cs="宋体"/>
          <w:sz w:val="24"/>
          <w:szCs w:val="24"/>
        </w:rPr>
      </w:pPr>
      <w:r>
        <w:rPr>
          <w:rFonts w:hint="eastAsia" w:ascii="宋体" w:hAnsi="宋体" w:cs="宋体"/>
          <w:sz w:val="24"/>
          <w:szCs w:val="24"/>
        </w:rPr>
        <w:t>食品安全是涉及国计民生的大事，食品生产、经营者是食品安全的第一责任人，必须时刻牢记食品安全重于泰山并倡导讲诚信、保质量、树新风的经营理念，为保障</w:t>
      </w:r>
      <w:r>
        <w:rPr>
          <w:rFonts w:hint="eastAsia" w:ascii="宋体" w:hAnsi="宋体" w:cs="宋体"/>
          <w:sz w:val="24"/>
          <w:szCs w:val="24"/>
          <w:lang w:eastAsia="zh-CN"/>
        </w:rPr>
        <w:t>南通师范高等专科学校</w:t>
      </w:r>
      <w:r>
        <w:rPr>
          <w:rFonts w:hint="eastAsia" w:ascii="宋体" w:hAnsi="宋体" w:cs="宋体"/>
          <w:sz w:val="24"/>
          <w:szCs w:val="24"/>
        </w:rPr>
        <w:t>师生的身心健康，我们郑重承诺：</w:t>
      </w:r>
    </w:p>
    <w:p w14:paraId="100C24F0">
      <w:pPr>
        <w:spacing w:line="460" w:lineRule="exact"/>
        <w:ind w:firstLine="480" w:firstLineChars="200"/>
        <w:rPr>
          <w:rFonts w:ascii="宋体" w:hAnsi="宋体" w:cs="宋体"/>
          <w:sz w:val="24"/>
          <w:szCs w:val="24"/>
        </w:rPr>
      </w:pPr>
      <w:r>
        <w:rPr>
          <w:rFonts w:hint="eastAsia" w:ascii="宋体" w:hAnsi="宋体" w:cs="宋体"/>
          <w:sz w:val="24"/>
          <w:szCs w:val="24"/>
        </w:rPr>
        <w:t>1、严格遵守《食品安全法》、《加强食品质量安全监督管理工作实施意见》，以及相关法律、法规的规定，在对学院食品配送工作中体现服务社会、服务学生、服务发展，为构建和谐社会贡献力量。</w:t>
      </w:r>
    </w:p>
    <w:p w14:paraId="100C24F1">
      <w:pPr>
        <w:spacing w:line="460" w:lineRule="exact"/>
        <w:ind w:firstLine="480" w:firstLineChars="200"/>
        <w:rPr>
          <w:rFonts w:ascii="宋体" w:hAnsi="宋体" w:cs="宋体"/>
          <w:sz w:val="24"/>
          <w:szCs w:val="24"/>
        </w:rPr>
      </w:pPr>
      <w:r>
        <w:rPr>
          <w:rFonts w:hint="eastAsia" w:ascii="宋体" w:hAnsi="宋体" w:cs="宋体"/>
          <w:sz w:val="24"/>
          <w:szCs w:val="24"/>
        </w:rPr>
        <w:t>2、食品生产、经营企业法定代表人和主要管理人员掌握食品安全的相关法律、法规，在生产、经营中切实提高对食品质量安全要义的认识，不断强化食品安全第一责任人意识。建立健全食品生产、经营管理体系，建立完善各项规章制度，保证在生产、经营全过程实行标准化管理。</w:t>
      </w:r>
    </w:p>
    <w:p w14:paraId="100C24F2">
      <w:pPr>
        <w:spacing w:line="460" w:lineRule="exact"/>
        <w:ind w:firstLine="480" w:firstLineChars="200"/>
        <w:rPr>
          <w:rFonts w:ascii="宋体" w:hAnsi="宋体" w:cs="宋体"/>
          <w:sz w:val="24"/>
          <w:szCs w:val="24"/>
        </w:rPr>
      </w:pPr>
      <w:r>
        <w:rPr>
          <w:rFonts w:hint="eastAsia" w:ascii="宋体" w:hAnsi="宋体" w:cs="宋体"/>
          <w:sz w:val="24"/>
          <w:szCs w:val="24"/>
        </w:rPr>
        <w:t>3、为确保安全，食品生产、经营企业保证具备持续保证产品质量的环境条件、生产设备、工艺设备和相关辅助设备，具备与确保产品质量相适应的原材料处理、加工、包装、储存、运输等设施。</w:t>
      </w:r>
    </w:p>
    <w:p w14:paraId="100C24F3">
      <w:pPr>
        <w:spacing w:line="460" w:lineRule="exact"/>
        <w:ind w:firstLine="480" w:firstLineChars="200"/>
        <w:rPr>
          <w:rFonts w:ascii="宋体" w:hAnsi="宋体" w:cs="宋体"/>
          <w:sz w:val="24"/>
          <w:szCs w:val="24"/>
        </w:rPr>
      </w:pPr>
      <w:r>
        <w:rPr>
          <w:rFonts w:hint="eastAsia" w:ascii="宋体" w:hAnsi="宋体" w:cs="宋体"/>
          <w:sz w:val="24"/>
          <w:szCs w:val="24"/>
        </w:rPr>
        <w:t>4、保证配送到学院的食品、原材料经过严格的检验，保证配送到学院的食品符合国家最新相关规定和标准，杜绝配送不合格食品及国家禁止使用的“瘦肉精”、“添加剂”、色素，农药、抗生素等制作品。</w:t>
      </w:r>
    </w:p>
    <w:p w14:paraId="100C24F4">
      <w:pPr>
        <w:spacing w:line="460" w:lineRule="exact"/>
        <w:ind w:firstLine="480" w:firstLineChars="200"/>
        <w:rPr>
          <w:rFonts w:ascii="宋体" w:hAnsi="宋体" w:cs="宋体"/>
          <w:sz w:val="24"/>
          <w:szCs w:val="24"/>
        </w:rPr>
      </w:pPr>
      <w:r>
        <w:rPr>
          <w:rFonts w:hint="eastAsia" w:ascii="宋体" w:hAnsi="宋体" w:cs="宋体"/>
          <w:sz w:val="24"/>
          <w:szCs w:val="24"/>
        </w:rPr>
        <w:t>5、严格落实进货查验、进货台账等制度，对配送学院的食品做到检测、检疫证书、税后发票随货发送，证货同行、证货相符。坚决杜绝中标后由非中标户配送、运送食品，坚持食品配送的严格性、严肃性、严密性。</w:t>
      </w:r>
    </w:p>
    <w:p w14:paraId="100C24F5">
      <w:pPr>
        <w:spacing w:line="460" w:lineRule="exact"/>
        <w:ind w:firstLine="480" w:firstLineChars="200"/>
        <w:rPr>
          <w:rFonts w:ascii="宋体" w:hAnsi="宋体" w:cs="宋体"/>
          <w:sz w:val="24"/>
          <w:szCs w:val="24"/>
        </w:rPr>
      </w:pPr>
      <w:r>
        <w:rPr>
          <w:rFonts w:hint="eastAsia" w:ascii="宋体" w:hAnsi="宋体" w:cs="宋体"/>
          <w:sz w:val="24"/>
          <w:szCs w:val="24"/>
        </w:rPr>
        <w:t xml:space="preserve">6、积极配合学院的管理和监督，自觉接受社会、家长、群众的管理和监督。积极参加食品安全体系建设工作，提高从业人员安全防范意识、自我约束意识和职业道德修养。          </w:t>
      </w:r>
    </w:p>
    <w:p w14:paraId="100C24F6">
      <w:pPr>
        <w:spacing w:line="460" w:lineRule="exact"/>
        <w:ind w:firstLine="2880" w:firstLineChars="1200"/>
        <w:rPr>
          <w:rFonts w:ascii="宋体" w:hAnsi="宋体" w:cs="宋体"/>
          <w:bCs/>
          <w:sz w:val="24"/>
          <w:szCs w:val="24"/>
        </w:rPr>
      </w:pPr>
      <w:r>
        <w:rPr>
          <w:rFonts w:hint="eastAsia" w:ascii="宋体" w:hAnsi="宋体" w:cs="宋体"/>
          <w:bCs/>
          <w:sz w:val="24"/>
          <w:szCs w:val="24"/>
        </w:rPr>
        <w:t xml:space="preserve">投标供应商：（盖章）：            </w:t>
      </w:r>
    </w:p>
    <w:p w14:paraId="100C24F7">
      <w:pPr>
        <w:spacing w:line="460" w:lineRule="exact"/>
        <w:ind w:firstLine="1920" w:firstLineChars="800"/>
        <w:rPr>
          <w:rFonts w:ascii="宋体" w:hAnsi="宋体" w:cs="宋体"/>
          <w:bCs/>
          <w:sz w:val="24"/>
          <w:szCs w:val="24"/>
        </w:rPr>
      </w:pPr>
      <w:r>
        <w:rPr>
          <w:rFonts w:hint="eastAsia" w:ascii="宋体" w:hAnsi="宋体" w:cs="宋体"/>
          <w:bCs/>
          <w:sz w:val="24"/>
          <w:szCs w:val="24"/>
        </w:rPr>
        <w:t>法定代表人或被授权人：（签字或盖章）</w:t>
      </w:r>
    </w:p>
    <w:p w14:paraId="100C24F8">
      <w:pPr>
        <w:spacing w:line="460" w:lineRule="exact"/>
        <w:ind w:firstLine="6193" w:firstLineChars="2212"/>
        <w:rPr>
          <w:rFonts w:ascii="宋体" w:hAnsi="宋体" w:cs="宋体"/>
          <w:bCs/>
          <w:sz w:val="28"/>
          <w:szCs w:val="28"/>
        </w:rPr>
      </w:pPr>
      <w:r>
        <w:rPr>
          <w:rFonts w:hint="eastAsia" w:ascii="宋体" w:hAnsi="宋体" w:cs="宋体"/>
          <w:bCs/>
          <w:sz w:val="28"/>
          <w:szCs w:val="28"/>
        </w:rPr>
        <w:t>年  月   日</w:t>
      </w:r>
    </w:p>
    <w:p w14:paraId="100C24F9">
      <w:pPr>
        <w:rPr>
          <w:rFonts w:ascii="宋体" w:hAnsi="宋体" w:cs="宋体"/>
          <w:sz w:val="28"/>
          <w:szCs w:val="28"/>
        </w:rPr>
      </w:pPr>
    </w:p>
    <w:p w14:paraId="100C24FA">
      <w:pPr>
        <w:rPr>
          <w:rFonts w:ascii="宋体" w:hAnsi="宋体" w:cs="宋体"/>
          <w:sz w:val="28"/>
          <w:szCs w:val="28"/>
        </w:rPr>
      </w:pPr>
    </w:p>
    <w:p w14:paraId="5256795F">
      <w:pPr>
        <w:spacing w:line="460" w:lineRule="exact"/>
        <w:jc w:val="center"/>
        <w:rPr>
          <w:rFonts w:hint="eastAsia" w:ascii="宋体" w:hAnsi="宋体" w:eastAsia="宋体" w:cs="宋体"/>
          <w:b/>
          <w:kern w:val="2"/>
          <w:sz w:val="28"/>
          <w:szCs w:val="28"/>
          <w:lang w:val="en-US" w:eastAsia="zh-CN" w:bidi="ar-SA"/>
        </w:rPr>
      </w:pPr>
      <w:r>
        <w:rPr>
          <w:rFonts w:hint="eastAsia" w:ascii="宋体" w:hAnsi="宋体" w:cs="宋体"/>
          <w:b/>
          <w:sz w:val="28"/>
          <w:szCs w:val="28"/>
        </w:rPr>
        <w:t>8.</w:t>
      </w:r>
      <w:r>
        <w:rPr>
          <w:rFonts w:hint="eastAsia" w:ascii="宋体" w:hAnsi="宋体" w:eastAsia="宋体" w:cs="宋体"/>
          <w:b/>
          <w:kern w:val="2"/>
          <w:sz w:val="28"/>
          <w:szCs w:val="28"/>
          <w:lang w:val="en-US" w:eastAsia="zh-CN" w:bidi="ar-SA"/>
        </w:rPr>
        <w:t>投标综合承诺函</w:t>
      </w:r>
    </w:p>
    <w:p w14:paraId="72333D70">
      <w:pPr>
        <w:spacing w:line="460" w:lineRule="exact"/>
        <w:rPr>
          <w:rFonts w:hint="eastAsia" w:ascii="宋体" w:hAnsi="宋体" w:cs="宋体"/>
          <w:sz w:val="24"/>
          <w:szCs w:val="24"/>
          <w:lang w:val="en-US" w:eastAsia="zh-CN"/>
        </w:rPr>
      </w:pPr>
      <w:r>
        <w:rPr>
          <w:rFonts w:hint="eastAsia" w:ascii="宋体" w:hAnsi="宋体" w:cs="宋体"/>
          <w:sz w:val="24"/>
          <w:szCs w:val="24"/>
          <w:lang w:val="en-US" w:eastAsia="zh-CN"/>
        </w:rPr>
        <w:t xml:space="preserve">致：南通师范高等专科学校 </w:t>
      </w:r>
    </w:p>
    <w:p w14:paraId="2FDEF43E">
      <w:p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项目名称：南通师范高等专科学校开发区校区大宗食材采购项目 项目编号：TSGZCG2026019</w:t>
      </w:r>
    </w:p>
    <w:p w14:paraId="0E937D0D">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我方作为参与本项目投标的供应商，现就招标文件第七章资格审查文件 10.1-10.4 条全部要求，郑重作出如下不可撤销承诺，本承诺函作为投标文件资格审查组成部分，具备完整法律效力： </w:t>
      </w:r>
    </w:p>
    <w:p w14:paraId="4087F7E5">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一、</w:t>
      </w:r>
      <w:r>
        <w:rPr>
          <w:rFonts w:hint="eastAsia" w:ascii="宋体" w:hAnsi="宋体" w:cs="宋体"/>
          <w:sz w:val="24"/>
          <w:szCs w:val="24"/>
          <w:lang w:val="en-US" w:eastAsia="zh-CN"/>
        </w:rPr>
        <w:t xml:space="preserve">分包转包及人员管理承诺 </w:t>
      </w:r>
    </w:p>
    <w:p w14:paraId="6BA1D762">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承诺，若有幸中标，绝不将对应标段中标项目整体或拆分分包、转包、委托第三方实施；项目全部配送、对接、检验人员均为我司正式在岗员工，已签订劳动合同、足额缴纳社保。服务周期内，未经采购人书面许可，不得随意更换配送及驻场对接人员；擅自分包、转包、私自更换人员的，自愿接受作废标 / 取消中标资格、全额没收履约保证金、终止供货合同等全部处罚，并承担由此给采购人造成的一切经济损失与法律责任。</w:t>
      </w:r>
    </w:p>
    <w:p w14:paraId="439CDA24">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二、</w:t>
      </w:r>
      <w:r>
        <w:rPr>
          <w:rFonts w:hint="eastAsia" w:ascii="宋体" w:hAnsi="宋体" w:cs="宋体"/>
          <w:sz w:val="24"/>
          <w:szCs w:val="24"/>
          <w:lang w:val="en-US" w:eastAsia="zh-CN"/>
        </w:rPr>
        <w:t xml:space="preserve">校内教职工关联经营承诺 </w:t>
      </w:r>
    </w:p>
    <w:p w14:paraId="414C3F0E">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我方实际控制人、股东、法定代表人、高管、分支机构、合作方不存在南通师范高等专科学校在职、离退休教职工，教职工配偶、父母、子女等直系亲属未持有我司股权、未参与公司实际经营管理、未担任任何管理及业务岗位；不存在教职工及其亲属挂靠、参股、分红、合作经营等情形。若存在隐瞒、虚假陈述，自愿作废标处理，中标后查实的立即取消中标资格、没收全部保证金，并永久禁止参与本校所有食堂食材采购项目。</w:t>
      </w:r>
    </w:p>
    <w:p w14:paraId="0D850C1A">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三、</w:t>
      </w:r>
      <w:r>
        <w:rPr>
          <w:rFonts w:hint="eastAsia" w:ascii="宋体" w:hAnsi="宋体" w:cs="宋体"/>
          <w:sz w:val="24"/>
          <w:szCs w:val="24"/>
          <w:lang w:val="en-US" w:eastAsia="zh-CN"/>
        </w:rPr>
        <w:t xml:space="preserve">食堂承包商关联投标承诺 </w:t>
      </w:r>
    </w:p>
    <w:p w14:paraId="7A5354EB">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与招标文件列明的校内食堂承包服务商无任何股权关联、人员混同、业务挂靠、联营合作、委托代投等关系，未受上述企业指使、资助参与本次投标。若存在关联或串通投标行为，自愿认定投标无效，保证金不予退还，并承担招投标相关法律法规规定的全部违法责任。</w:t>
      </w:r>
    </w:p>
    <w:p w14:paraId="406BBF7D">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四、</w:t>
      </w:r>
      <w:r>
        <w:rPr>
          <w:rFonts w:hint="eastAsia" w:ascii="宋体" w:hAnsi="宋体" w:cs="宋体"/>
          <w:sz w:val="24"/>
          <w:szCs w:val="24"/>
          <w:lang w:val="en-US" w:eastAsia="zh-CN"/>
        </w:rPr>
        <w:t xml:space="preserve">关联企业同标段投标禁止承诺 </w:t>
      </w:r>
    </w:p>
    <w:p w14:paraId="7E7C7E68">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我方知晓并严格遵守规定：法定代表人为同一人的多家法人、母公司与全资 / 控股子公司、受同一主体控制的关联企业，不得在本项目同一标段同时投标。我方不存在与关联企业共同投同一标段的行为；若经查实我方与关联企业同时参与同一标段投标，自愿按围标认定，投标直接无效，保证金不予退还，接受行业失信公示处理。</w:t>
      </w:r>
    </w:p>
    <w:p w14:paraId="6543AF53">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五、</w:t>
      </w:r>
      <w:r>
        <w:rPr>
          <w:rFonts w:hint="eastAsia" w:ascii="宋体" w:hAnsi="宋体" w:cs="宋体"/>
          <w:sz w:val="24"/>
          <w:szCs w:val="24"/>
          <w:lang w:val="en-US" w:eastAsia="zh-CN"/>
        </w:rPr>
        <w:t xml:space="preserve">兜底责任承诺 </w:t>
      </w:r>
    </w:p>
    <w:p w14:paraId="6214B0F0">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完全清楚上述全部承诺条款，所有陈述、证明材料均真实、完整、无隐瞒、无伪造。若任意一条承诺存在虚假、不实情形，我方自愿接受招标文件约定的全部处罚，自行承担投标、履约产生的全部损失，同时赔偿采购人全部经济损失，并承担《中华人民共和国招标投标法》《中华人民共和国食品安全法》等相关法律法规项下一切法律责任。</w:t>
      </w:r>
    </w:p>
    <w:p w14:paraId="40E1732E">
      <w:pPr>
        <w:spacing w:line="460" w:lineRule="exact"/>
        <w:ind w:firstLine="480" w:firstLineChars="200"/>
        <w:rPr>
          <w:rFonts w:hint="eastAsia" w:ascii="宋体" w:hAnsi="宋体" w:cs="宋体"/>
          <w:sz w:val="24"/>
          <w:szCs w:val="24"/>
          <w:lang w:val="en-US" w:eastAsia="zh-CN"/>
        </w:rPr>
      </w:pPr>
    </w:p>
    <w:p w14:paraId="64E0B491">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承诺单位（加盖企业公章）： </w:t>
      </w:r>
    </w:p>
    <w:p w14:paraId="7ADDA3C0">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统一社会信用代码： </w:t>
      </w:r>
    </w:p>
    <w:p w14:paraId="0B84F77B">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法定代表人（签字或盖章）： </w:t>
      </w:r>
    </w:p>
    <w:p w14:paraId="5A2BB1B7">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授权委托代理人（签字）： </w:t>
      </w:r>
    </w:p>
    <w:p w14:paraId="752BA5A2">
      <w:p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联系电话： 日期：______年____月____日</w:t>
      </w:r>
    </w:p>
    <w:p w14:paraId="100C2503">
      <w:pPr>
        <w:rPr>
          <w:rFonts w:ascii="宋体" w:hAnsi="宋体" w:cs="宋体"/>
          <w:sz w:val="28"/>
          <w:szCs w:val="28"/>
        </w:rPr>
      </w:pPr>
    </w:p>
    <w:p w14:paraId="100C2504">
      <w:pPr>
        <w:rPr>
          <w:rFonts w:ascii="宋体" w:hAnsi="宋体" w:cs="宋体"/>
          <w:sz w:val="28"/>
          <w:szCs w:val="28"/>
        </w:rPr>
      </w:pPr>
    </w:p>
    <w:p w14:paraId="100C2505">
      <w:pPr>
        <w:rPr>
          <w:rFonts w:ascii="宋体" w:hAnsi="宋体" w:cs="宋体"/>
          <w:sz w:val="28"/>
          <w:szCs w:val="28"/>
        </w:rPr>
      </w:pPr>
    </w:p>
    <w:p w14:paraId="7133A1F3">
      <w:pPr>
        <w:spacing w:before="159" w:beforeLines="50" w:after="159" w:afterLines="50" w:line="440" w:lineRule="atLeast"/>
        <w:jc w:val="center"/>
        <w:rPr>
          <w:rFonts w:hint="eastAsia" w:ascii="宋体" w:hAnsi="宋体" w:cs="宋体"/>
          <w:b/>
          <w:bCs/>
          <w:sz w:val="28"/>
          <w:szCs w:val="28"/>
        </w:rPr>
        <w:sectPr>
          <w:pgSz w:w="11906" w:h="16838"/>
          <w:pgMar w:top="1440" w:right="1803" w:bottom="1440" w:left="1803" w:header="851" w:footer="992" w:gutter="0"/>
          <w:cols w:space="0" w:num="1"/>
          <w:docGrid w:type="lines" w:linePitch="319" w:charSpace="0"/>
        </w:sectPr>
      </w:pPr>
    </w:p>
    <w:p w14:paraId="100C2506">
      <w:pPr>
        <w:numPr>
          <w:ilvl w:val="0"/>
          <w:numId w:val="2"/>
        </w:numPr>
        <w:spacing w:before="159" w:beforeLines="50" w:after="159" w:afterLines="50" w:line="440" w:lineRule="atLeast"/>
        <w:jc w:val="center"/>
        <w:rPr>
          <w:rFonts w:hint="eastAsia" w:ascii="宋体" w:hAnsi="宋体" w:cs="宋体"/>
          <w:b/>
          <w:bCs/>
          <w:sz w:val="28"/>
          <w:szCs w:val="28"/>
        </w:rPr>
      </w:pPr>
      <w:r>
        <w:rPr>
          <w:rFonts w:hint="eastAsia" w:ascii="宋体" w:hAnsi="宋体" w:cs="宋体"/>
          <w:b/>
          <w:bCs/>
          <w:sz w:val="28"/>
          <w:szCs w:val="28"/>
        </w:rPr>
        <w:t>报价单</w:t>
      </w:r>
    </w:p>
    <w:tbl>
      <w:tblPr>
        <w:tblStyle w:val="57"/>
        <w:tblW w:w="7151" w:type="dxa"/>
        <w:jc w:val="center"/>
        <w:tblLayout w:type="fixed"/>
        <w:tblCellMar>
          <w:top w:w="0" w:type="dxa"/>
          <w:left w:w="108" w:type="dxa"/>
          <w:bottom w:w="0" w:type="dxa"/>
          <w:right w:w="108" w:type="dxa"/>
        </w:tblCellMar>
      </w:tblPr>
      <w:tblGrid>
        <w:gridCol w:w="1343"/>
        <w:gridCol w:w="1854"/>
        <w:gridCol w:w="1977"/>
        <w:gridCol w:w="1977"/>
      </w:tblGrid>
      <w:tr w14:paraId="62EA9357">
        <w:tblPrEx>
          <w:tblCellMar>
            <w:top w:w="0" w:type="dxa"/>
            <w:left w:w="108" w:type="dxa"/>
            <w:bottom w:w="0" w:type="dxa"/>
            <w:right w:w="108" w:type="dxa"/>
          </w:tblCellMar>
        </w:tblPrEx>
        <w:trPr>
          <w:trHeight w:val="624" w:hRule="atLeast"/>
          <w:jc w:val="center"/>
        </w:trPr>
        <w:tc>
          <w:tcPr>
            <w:tcW w:w="1343" w:type="dxa"/>
            <w:tcBorders>
              <w:top w:val="single" w:color="auto" w:sz="4" w:space="0"/>
              <w:left w:val="single" w:color="auto" w:sz="4" w:space="0"/>
              <w:bottom w:val="single" w:color="auto" w:sz="4" w:space="0"/>
              <w:right w:val="single" w:color="auto" w:sz="4" w:space="0"/>
            </w:tcBorders>
            <w:noWrap w:val="0"/>
            <w:vAlign w:val="center"/>
          </w:tcPr>
          <w:p w14:paraId="6DF6E39B">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标段序号</w:t>
            </w:r>
          </w:p>
        </w:tc>
        <w:tc>
          <w:tcPr>
            <w:tcW w:w="1854" w:type="dxa"/>
            <w:tcBorders>
              <w:top w:val="single" w:color="auto" w:sz="4" w:space="0"/>
              <w:left w:val="nil"/>
              <w:bottom w:val="single" w:color="auto" w:sz="4" w:space="0"/>
              <w:right w:val="single" w:color="auto" w:sz="4" w:space="0"/>
            </w:tcBorders>
            <w:noWrap w:val="0"/>
            <w:vAlign w:val="center"/>
          </w:tcPr>
          <w:p w14:paraId="0D6CC2F4">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标段名称</w:t>
            </w:r>
          </w:p>
        </w:tc>
        <w:tc>
          <w:tcPr>
            <w:tcW w:w="1977" w:type="dxa"/>
            <w:tcBorders>
              <w:top w:val="single" w:color="auto" w:sz="4" w:space="0"/>
              <w:left w:val="nil"/>
              <w:bottom w:val="single" w:color="auto" w:sz="4" w:space="0"/>
              <w:right w:val="single" w:color="auto" w:sz="4" w:space="0"/>
            </w:tcBorders>
            <w:noWrap w:val="0"/>
            <w:vAlign w:val="center"/>
          </w:tcPr>
          <w:p w14:paraId="30C8C55C">
            <w:pPr>
              <w:keepNext w:val="0"/>
              <w:keepLines w:val="0"/>
              <w:pageBreakBefore w:val="0"/>
              <w:kinsoku/>
              <w:overflowPunct/>
              <w:topLinePunct w:val="0"/>
              <w:bidi w:val="0"/>
              <w:spacing w:after="0" w:line="300" w:lineRule="auto"/>
              <w:jc w:val="center"/>
              <w:textAlignment w:val="auto"/>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最高折扣</w:t>
            </w:r>
          </w:p>
        </w:tc>
        <w:tc>
          <w:tcPr>
            <w:tcW w:w="1977" w:type="dxa"/>
            <w:tcBorders>
              <w:top w:val="single" w:color="auto" w:sz="4" w:space="0"/>
              <w:left w:val="nil"/>
              <w:bottom w:val="single" w:color="auto" w:sz="4" w:space="0"/>
              <w:right w:val="single" w:color="auto" w:sz="4" w:space="0"/>
            </w:tcBorders>
            <w:noWrap w:val="0"/>
            <w:vAlign w:val="center"/>
          </w:tcPr>
          <w:p w14:paraId="6C9A0F20">
            <w:pPr>
              <w:keepNext w:val="0"/>
              <w:keepLines w:val="0"/>
              <w:pageBreakBefore w:val="0"/>
              <w:kinsoku/>
              <w:overflowPunct/>
              <w:topLinePunct w:val="0"/>
              <w:bidi w:val="0"/>
              <w:spacing w:after="0" w:line="300" w:lineRule="auto"/>
              <w:jc w:val="center"/>
              <w:textAlignment w:val="auto"/>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投标报价折扣</w:t>
            </w:r>
          </w:p>
        </w:tc>
      </w:tr>
      <w:tr w14:paraId="5730093D">
        <w:tblPrEx>
          <w:tblCellMar>
            <w:top w:w="0" w:type="dxa"/>
            <w:left w:w="108" w:type="dxa"/>
            <w:bottom w:w="0" w:type="dxa"/>
            <w:right w:w="108" w:type="dxa"/>
          </w:tblCellMar>
        </w:tblPrEx>
        <w:trPr>
          <w:trHeight w:val="624" w:hRule="atLeast"/>
          <w:jc w:val="center"/>
        </w:trPr>
        <w:tc>
          <w:tcPr>
            <w:tcW w:w="1343" w:type="dxa"/>
            <w:tcBorders>
              <w:top w:val="nil"/>
              <w:left w:val="single" w:color="auto" w:sz="4" w:space="0"/>
              <w:bottom w:val="single" w:color="auto" w:sz="4" w:space="0"/>
              <w:right w:val="single" w:color="auto" w:sz="4" w:space="0"/>
            </w:tcBorders>
            <w:noWrap w:val="0"/>
            <w:vAlign w:val="center"/>
          </w:tcPr>
          <w:p w14:paraId="6C5E780D">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标段2</w:t>
            </w:r>
          </w:p>
        </w:tc>
        <w:tc>
          <w:tcPr>
            <w:tcW w:w="1854" w:type="dxa"/>
            <w:tcBorders>
              <w:top w:val="nil"/>
              <w:left w:val="nil"/>
              <w:bottom w:val="single" w:color="auto" w:sz="4" w:space="0"/>
              <w:right w:val="single" w:color="auto" w:sz="4" w:space="0"/>
            </w:tcBorders>
            <w:noWrap w:val="0"/>
            <w:vAlign w:val="center"/>
          </w:tcPr>
          <w:p w14:paraId="1D49B099">
            <w:pPr>
              <w:spacing w:after="0"/>
              <w:jc w:val="center"/>
              <w:rPr>
                <w:rFonts w:hint="eastAsia" w:ascii="仿宋" w:hAnsi="仿宋" w:eastAsia="仿宋" w:cs="仿宋"/>
                <w:sz w:val="22"/>
                <w:szCs w:val="22"/>
              </w:rPr>
            </w:pPr>
            <w:r>
              <w:rPr>
                <w:rFonts w:hint="eastAsia" w:ascii="仿宋" w:hAnsi="仿宋" w:eastAsia="仿宋" w:cs="仿宋"/>
                <w:sz w:val="22"/>
                <w:szCs w:val="22"/>
              </w:rPr>
              <w:t>面粉</w:t>
            </w:r>
          </w:p>
        </w:tc>
        <w:tc>
          <w:tcPr>
            <w:tcW w:w="1977" w:type="dxa"/>
            <w:tcBorders>
              <w:top w:val="nil"/>
              <w:left w:val="nil"/>
              <w:bottom w:val="single" w:color="auto" w:sz="4" w:space="0"/>
              <w:right w:val="single" w:color="auto" w:sz="4" w:space="0"/>
            </w:tcBorders>
            <w:noWrap w:val="0"/>
            <w:vAlign w:val="center"/>
          </w:tcPr>
          <w:p w14:paraId="796E7423">
            <w:pPr>
              <w:spacing w:after="0"/>
              <w:jc w:val="center"/>
              <w:textAlignment w:val="center"/>
              <w:rPr>
                <w:rFonts w:hint="default" w:ascii="仿宋" w:hAnsi="仿宋" w:eastAsia="仿宋" w:cs="仿宋"/>
                <w:sz w:val="22"/>
                <w:szCs w:val="22"/>
                <w:lang w:val="en-US" w:eastAsia="zh-CN"/>
              </w:rPr>
            </w:pPr>
            <w:r>
              <w:rPr>
                <w:rFonts w:hint="eastAsia" w:ascii="仿宋" w:hAnsi="仿宋" w:eastAsia="仿宋" w:cs="仿宋"/>
                <w:sz w:val="24"/>
                <w:szCs w:val="24"/>
                <w:lang w:bidi="ar"/>
              </w:rPr>
              <w:t>≤90%</w:t>
            </w:r>
          </w:p>
        </w:tc>
        <w:tc>
          <w:tcPr>
            <w:tcW w:w="1977" w:type="dxa"/>
            <w:tcBorders>
              <w:top w:val="nil"/>
              <w:left w:val="nil"/>
              <w:bottom w:val="single" w:color="auto" w:sz="4" w:space="0"/>
              <w:right w:val="single" w:color="auto" w:sz="4" w:space="0"/>
            </w:tcBorders>
            <w:noWrap w:val="0"/>
            <w:vAlign w:val="center"/>
          </w:tcPr>
          <w:p w14:paraId="418E7101">
            <w:pPr>
              <w:spacing w:after="0"/>
              <w:jc w:val="center"/>
              <w:textAlignment w:val="center"/>
              <w:rPr>
                <w:rFonts w:hint="eastAsia" w:ascii="仿宋" w:hAnsi="仿宋" w:eastAsia="仿宋" w:cs="仿宋"/>
                <w:sz w:val="24"/>
                <w:szCs w:val="24"/>
                <w:lang w:bidi="ar"/>
              </w:rPr>
            </w:pPr>
          </w:p>
        </w:tc>
      </w:tr>
      <w:tr w14:paraId="6E698253">
        <w:tblPrEx>
          <w:tblCellMar>
            <w:top w:w="0" w:type="dxa"/>
            <w:left w:w="108" w:type="dxa"/>
            <w:bottom w:w="0" w:type="dxa"/>
            <w:right w:w="108" w:type="dxa"/>
          </w:tblCellMar>
        </w:tblPrEx>
        <w:trPr>
          <w:trHeight w:val="624" w:hRule="atLeast"/>
          <w:jc w:val="center"/>
        </w:trPr>
        <w:tc>
          <w:tcPr>
            <w:tcW w:w="1343" w:type="dxa"/>
            <w:tcBorders>
              <w:top w:val="single" w:color="auto" w:sz="4" w:space="0"/>
              <w:left w:val="single" w:color="auto" w:sz="4" w:space="0"/>
              <w:bottom w:val="single" w:color="auto" w:sz="4" w:space="0"/>
              <w:right w:val="single" w:color="auto" w:sz="4" w:space="0"/>
            </w:tcBorders>
            <w:noWrap w:val="0"/>
            <w:vAlign w:val="center"/>
          </w:tcPr>
          <w:p w14:paraId="5DBB9EA3">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标段5</w:t>
            </w:r>
          </w:p>
        </w:tc>
        <w:tc>
          <w:tcPr>
            <w:tcW w:w="1854" w:type="dxa"/>
            <w:tcBorders>
              <w:top w:val="single" w:color="auto" w:sz="4" w:space="0"/>
              <w:left w:val="single" w:color="auto" w:sz="4" w:space="0"/>
              <w:bottom w:val="single" w:color="auto" w:sz="4" w:space="0"/>
              <w:right w:val="single" w:color="auto" w:sz="4" w:space="0"/>
            </w:tcBorders>
            <w:noWrap w:val="0"/>
            <w:vAlign w:val="center"/>
          </w:tcPr>
          <w:p w14:paraId="1630B273">
            <w:pPr>
              <w:spacing w:after="0"/>
              <w:jc w:val="center"/>
              <w:rPr>
                <w:rFonts w:hint="eastAsia" w:ascii="仿宋" w:hAnsi="仿宋" w:eastAsia="仿宋" w:cs="仿宋"/>
                <w:sz w:val="22"/>
                <w:szCs w:val="22"/>
              </w:rPr>
            </w:pPr>
            <w:r>
              <w:rPr>
                <w:rFonts w:hint="eastAsia" w:ascii="仿宋" w:hAnsi="仿宋" w:eastAsia="仿宋" w:cs="仿宋"/>
                <w:sz w:val="22"/>
                <w:szCs w:val="22"/>
              </w:rPr>
              <w:t>鸡蛋</w:t>
            </w:r>
          </w:p>
        </w:tc>
        <w:tc>
          <w:tcPr>
            <w:tcW w:w="1977" w:type="dxa"/>
            <w:tcBorders>
              <w:top w:val="single" w:color="auto" w:sz="4" w:space="0"/>
              <w:left w:val="single" w:color="auto" w:sz="4" w:space="0"/>
              <w:bottom w:val="single" w:color="auto" w:sz="4" w:space="0"/>
              <w:right w:val="single" w:color="auto" w:sz="4" w:space="0"/>
            </w:tcBorders>
            <w:noWrap w:val="0"/>
            <w:vAlign w:val="center"/>
          </w:tcPr>
          <w:p w14:paraId="00B0B604">
            <w:pPr>
              <w:spacing w:after="0"/>
              <w:jc w:val="center"/>
              <w:textAlignment w:val="center"/>
              <w:rPr>
                <w:rFonts w:hint="default" w:ascii="仿宋" w:hAnsi="仿宋" w:eastAsia="仿宋" w:cs="仿宋"/>
                <w:sz w:val="22"/>
                <w:szCs w:val="22"/>
                <w:lang w:val="en-US" w:eastAsia="zh-CN"/>
              </w:rPr>
            </w:pPr>
            <w:r>
              <w:rPr>
                <w:rFonts w:hint="eastAsia" w:ascii="仿宋" w:hAnsi="仿宋" w:eastAsia="仿宋" w:cs="仿宋"/>
                <w:sz w:val="24"/>
                <w:szCs w:val="24"/>
                <w:lang w:bidi="ar"/>
              </w:rPr>
              <w:t>≤90%</w:t>
            </w:r>
          </w:p>
        </w:tc>
        <w:tc>
          <w:tcPr>
            <w:tcW w:w="1977" w:type="dxa"/>
            <w:tcBorders>
              <w:top w:val="single" w:color="auto" w:sz="4" w:space="0"/>
              <w:left w:val="single" w:color="auto" w:sz="4" w:space="0"/>
              <w:bottom w:val="single" w:color="auto" w:sz="4" w:space="0"/>
              <w:right w:val="single" w:color="auto" w:sz="4" w:space="0"/>
            </w:tcBorders>
            <w:noWrap w:val="0"/>
            <w:vAlign w:val="center"/>
          </w:tcPr>
          <w:p w14:paraId="49BFDE67">
            <w:pPr>
              <w:spacing w:after="0"/>
              <w:jc w:val="center"/>
              <w:textAlignment w:val="center"/>
              <w:rPr>
                <w:rFonts w:hint="eastAsia" w:ascii="仿宋" w:hAnsi="仿宋" w:eastAsia="仿宋" w:cs="仿宋"/>
                <w:sz w:val="24"/>
                <w:szCs w:val="24"/>
                <w:lang w:bidi="ar"/>
              </w:rPr>
            </w:pPr>
          </w:p>
        </w:tc>
      </w:tr>
      <w:tr w14:paraId="718CCA2A">
        <w:tblPrEx>
          <w:tblCellMar>
            <w:top w:w="0" w:type="dxa"/>
            <w:left w:w="108" w:type="dxa"/>
            <w:bottom w:w="0" w:type="dxa"/>
            <w:right w:w="108" w:type="dxa"/>
          </w:tblCellMar>
        </w:tblPrEx>
        <w:trPr>
          <w:trHeight w:val="624" w:hRule="atLeast"/>
          <w:jc w:val="center"/>
        </w:trPr>
        <w:tc>
          <w:tcPr>
            <w:tcW w:w="1343" w:type="dxa"/>
            <w:tcBorders>
              <w:top w:val="single" w:color="auto" w:sz="4" w:space="0"/>
              <w:left w:val="single" w:color="auto" w:sz="4" w:space="0"/>
              <w:bottom w:val="single" w:color="auto" w:sz="4" w:space="0"/>
              <w:right w:val="single" w:color="auto" w:sz="4" w:space="0"/>
            </w:tcBorders>
            <w:noWrap w:val="0"/>
            <w:vAlign w:val="center"/>
          </w:tcPr>
          <w:p w14:paraId="2F5B1EA1">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z w:val="22"/>
                <w:szCs w:val="22"/>
                <w:lang w:val="en-US" w:eastAsia="zh-CN"/>
              </w:rPr>
              <w:t>原</w:t>
            </w:r>
            <w:r>
              <w:rPr>
                <w:rFonts w:hint="eastAsia" w:ascii="仿宋" w:hAnsi="仿宋" w:eastAsia="仿宋" w:cs="仿宋"/>
                <w:spacing w:val="7"/>
                <w:sz w:val="22"/>
                <w:szCs w:val="22"/>
              </w:rPr>
              <w:t>标段7</w:t>
            </w:r>
          </w:p>
        </w:tc>
        <w:tc>
          <w:tcPr>
            <w:tcW w:w="1854" w:type="dxa"/>
            <w:tcBorders>
              <w:top w:val="single" w:color="auto" w:sz="4" w:space="0"/>
              <w:left w:val="single" w:color="auto" w:sz="4" w:space="0"/>
              <w:bottom w:val="single" w:color="auto" w:sz="4" w:space="0"/>
              <w:right w:val="single" w:color="auto" w:sz="4" w:space="0"/>
            </w:tcBorders>
            <w:noWrap w:val="0"/>
            <w:vAlign w:val="center"/>
          </w:tcPr>
          <w:p w14:paraId="68A2C801">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干调</w:t>
            </w:r>
          </w:p>
        </w:tc>
        <w:tc>
          <w:tcPr>
            <w:tcW w:w="1977" w:type="dxa"/>
            <w:tcBorders>
              <w:top w:val="single" w:color="auto" w:sz="4" w:space="0"/>
              <w:left w:val="single" w:color="auto" w:sz="4" w:space="0"/>
              <w:bottom w:val="single" w:color="auto" w:sz="4" w:space="0"/>
              <w:right w:val="single" w:color="auto" w:sz="4" w:space="0"/>
            </w:tcBorders>
            <w:noWrap w:val="0"/>
            <w:vAlign w:val="center"/>
          </w:tcPr>
          <w:p w14:paraId="5AEAE78F">
            <w:pPr>
              <w:spacing w:after="0"/>
              <w:jc w:val="center"/>
              <w:textAlignment w:val="center"/>
              <w:rPr>
                <w:rFonts w:hint="default" w:ascii="仿宋" w:hAnsi="仿宋" w:eastAsia="仿宋" w:cs="仿宋"/>
                <w:spacing w:val="7"/>
                <w:sz w:val="22"/>
                <w:szCs w:val="22"/>
                <w:lang w:val="en-US" w:eastAsia="zh-CN"/>
              </w:rPr>
            </w:pPr>
            <w:r>
              <w:rPr>
                <w:rFonts w:hint="eastAsia" w:ascii="仿宋" w:hAnsi="仿宋" w:eastAsia="仿宋" w:cs="仿宋"/>
                <w:sz w:val="24"/>
                <w:szCs w:val="24"/>
                <w:lang w:bidi="ar"/>
              </w:rPr>
              <w:t>≤</w:t>
            </w:r>
            <w:r>
              <w:rPr>
                <w:rFonts w:hint="eastAsia" w:ascii="仿宋" w:hAnsi="仿宋" w:eastAsia="仿宋" w:cs="仿宋"/>
                <w:sz w:val="24"/>
                <w:szCs w:val="24"/>
                <w:lang w:val="en-US" w:eastAsia="zh-CN" w:bidi="ar"/>
              </w:rPr>
              <w:t>10</w:t>
            </w:r>
            <w:r>
              <w:rPr>
                <w:rFonts w:hint="eastAsia" w:ascii="仿宋" w:hAnsi="仿宋" w:eastAsia="仿宋" w:cs="仿宋"/>
                <w:sz w:val="24"/>
                <w:szCs w:val="24"/>
                <w:lang w:bidi="ar"/>
              </w:rPr>
              <w:t>0%</w:t>
            </w:r>
          </w:p>
        </w:tc>
        <w:tc>
          <w:tcPr>
            <w:tcW w:w="1977" w:type="dxa"/>
            <w:tcBorders>
              <w:top w:val="single" w:color="auto" w:sz="4" w:space="0"/>
              <w:left w:val="single" w:color="auto" w:sz="4" w:space="0"/>
              <w:bottom w:val="single" w:color="auto" w:sz="4" w:space="0"/>
              <w:right w:val="single" w:color="auto" w:sz="4" w:space="0"/>
            </w:tcBorders>
            <w:noWrap w:val="0"/>
            <w:vAlign w:val="center"/>
          </w:tcPr>
          <w:p w14:paraId="2D670597">
            <w:pPr>
              <w:spacing w:after="0"/>
              <w:jc w:val="center"/>
              <w:textAlignment w:val="center"/>
              <w:rPr>
                <w:rFonts w:hint="eastAsia" w:ascii="仿宋" w:hAnsi="仿宋" w:eastAsia="仿宋" w:cs="仿宋"/>
                <w:sz w:val="24"/>
                <w:szCs w:val="24"/>
                <w:lang w:bidi="ar"/>
              </w:rPr>
            </w:pPr>
          </w:p>
        </w:tc>
      </w:tr>
    </w:tbl>
    <w:p w14:paraId="49218303">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说明：</w:t>
      </w:r>
    </w:p>
    <w:p w14:paraId="678C9D27">
      <w:pPr>
        <w:numPr>
          <w:ilvl w:val="0"/>
          <w:numId w:val="0"/>
        </w:numPr>
        <w:spacing w:line="460" w:lineRule="exact"/>
        <w:ind w:firstLine="480" w:firstLineChars="20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1.</w:t>
      </w:r>
      <w:r>
        <w:rPr>
          <w:rFonts w:hint="eastAsia" w:ascii="宋体" w:hAnsi="宋体" w:eastAsia="宋体" w:cs="宋体"/>
          <w:i w:val="0"/>
          <w:iCs w:val="0"/>
          <w:color w:val="000000"/>
          <w:kern w:val="0"/>
          <w:sz w:val="24"/>
          <w:szCs w:val="24"/>
          <w:u w:val="none"/>
          <w:lang w:val="en-US" w:eastAsia="zh-CN" w:bidi="ar"/>
        </w:rPr>
        <w:t>投标报价折扣</w:t>
      </w:r>
      <w:r>
        <w:rPr>
          <w:rFonts w:hint="eastAsia" w:ascii="宋体" w:hAnsi="宋体" w:cs="宋体"/>
          <w:i w:val="0"/>
          <w:iCs w:val="0"/>
          <w:color w:val="000000"/>
          <w:kern w:val="0"/>
          <w:sz w:val="24"/>
          <w:szCs w:val="24"/>
          <w:u w:val="none"/>
          <w:lang w:val="en-US" w:eastAsia="zh-CN" w:bidi="ar"/>
        </w:rPr>
        <w:t>比率</w:t>
      </w:r>
      <w:r>
        <w:rPr>
          <w:rFonts w:hint="eastAsia" w:ascii="宋体" w:hAnsi="宋体" w:eastAsia="宋体" w:cs="宋体"/>
          <w:i w:val="0"/>
          <w:iCs w:val="0"/>
          <w:color w:val="000000"/>
          <w:kern w:val="0"/>
          <w:sz w:val="24"/>
          <w:szCs w:val="24"/>
          <w:u w:val="none"/>
          <w:lang w:val="en-US" w:eastAsia="zh-CN" w:bidi="ar"/>
        </w:rPr>
        <w:t>高于最高控制折扣</w:t>
      </w:r>
      <w:r>
        <w:rPr>
          <w:rFonts w:hint="eastAsia" w:ascii="宋体" w:hAnsi="宋体" w:cs="宋体"/>
          <w:i w:val="0"/>
          <w:iCs w:val="0"/>
          <w:color w:val="000000"/>
          <w:kern w:val="0"/>
          <w:sz w:val="24"/>
          <w:szCs w:val="24"/>
          <w:u w:val="none"/>
          <w:lang w:val="en-US" w:eastAsia="zh-CN" w:bidi="ar"/>
        </w:rPr>
        <w:t>比</w:t>
      </w:r>
      <w:r>
        <w:rPr>
          <w:rFonts w:hint="eastAsia" w:ascii="宋体" w:hAnsi="宋体" w:eastAsia="宋体" w:cs="宋体"/>
          <w:i w:val="0"/>
          <w:iCs w:val="0"/>
          <w:color w:val="000000"/>
          <w:kern w:val="0"/>
          <w:sz w:val="24"/>
          <w:szCs w:val="24"/>
          <w:u w:val="none"/>
          <w:lang w:val="en-US" w:eastAsia="zh-CN" w:bidi="ar"/>
        </w:rPr>
        <w:t>率的，作</w:t>
      </w:r>
      <w:r>
        <w:rPr>
          <w:rFonts w:hint="eastAsia" w:ascii="宋体" w:hAnsi="宋体" w:cs="宋体"/>
          <w:i w:val="0"/>
          <w:iCs w:val="0"/>
          <w:color w:val="000000"/>
          <w:kern w:val="0"/>
          <w:sz w:val="24"/>
          <w:szCs w:val="24"/>
          <w:u w:val="none"/>
          <w:lang w:val="en-US" w:eastAsia="zh-CN" w:bidi="ar"/>
        </w:rPr>
        <w:t>无效报价</w:t>
      </w:r>
      <w:r>
        <w:rPr>
          <w:rFonts w:hint="eastAsia" w:ascii="宋体" w:hAnsi="宋体" w:eastAsia="宋体" w:cs="宋体"/>
          <w:i w:val="0"/>
          <w:iCs w:val="0"/>
          <w:color w:val="000000"/>
          <w:kern w:val="0"/>
          <w:sz w:val="24"/>
          <w:szCs w:val="24"/>
          <w:u w:val="none"/>
          <w:lang w:val="en-US" w:eastAsia="zh-CN" w:bidi="ar"/>
        </w:rPr>
        <w:t>处理。</w:t>
      </w:r>
    </w:p>
    <w:p w14:paraId="58C4FBB3">
      <w:pPr>
        <w:numPr>
          <w:ilvl w:val="0"/>
          <w:numId w:val="0"/>
        </w:numPr>
        <w:spacing w:line="460" w:lineRule="exact"/>
        <w:ind w:firstLine="480" w:firstLineChars="200"/>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2.原标段7各品类投标单价控制价明细详见附件。</w:t>
      </w:r>
    </w:p>
    <w:p w14:paraId="0D1A6512">
      <w:pPr>
        <w:numPr>
          <w:ilvl w:val="0"/>
          <w:numId w:val="0"/>
        </w:numPr>
        <w:spacing w:line="460" w:lineRule="exact"/>
        <w:ind w:firstLine="480" w:firstLineChars="200"/>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3.按所投标段报价。未参加投标的标段，无需报价。</w:t>
      </w:r>
    </w:p>
    <w:p w14:paraId="4164F9D9">
      <w:pPr>
        <w:numPr>
          <w:ilvl w:val="0"/>
          <w:numId w:val="0"/>
        </w:numPr>
        <w:spacing w:line="460" w:lineRule="exact"/>
        <w:ind w:firstLine="480" w:firstLineChars="200"/>
        <w:rPr>
          <w:rFonts w:hint="default" w:ascii="宋体" w:hAnsi="宋体" w:cs="宋体"/>
          <w:sz w:val="24"/>
          <w:szCs w:val="24"/>
          <w:lang w:val="en-US" w:eastAsia="zh-CN"/>
        </w:rPr>
      </w:pPr>
    </w:p>
    <w:p w14:paraId="0CC54374">
      <w:pPr>
        <w:numPr>
          <w:ilvl w:val="0"/>
          <w:numId w:val="0"/>
        </w:numPr>
        <w:spacing w:line="460" w:lineRule="exact"/>
        <w:ind w:firstLine="480" w:firstLineChars="200"/>
        <w:rPr>
          <w:rFonts w:hint="default" w:ascii="宋体" w:hAnsi="宋体" w:cs="宋体"/>
          <w:sz w:val="24"/>
          <w:szCs w:val="24"/>
          <w:lang w:val="en-US" w:eastAsia="zh-CN"/>
        </w:rPr>
      </w:pPr>
    </w:p>
    <w:p w14:paraId="4C11C308">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法定代表人（签字或盖章）： </w:t>
      </w:r>
    </w:p>
    <w:p w14:paraId="7BB6ED3B">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授权委托代理人（签字）： </w:t>
      </w:r>
    </w:p>
    <w:p w14:paraId="39DF2E5A">
      <w:p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联系电话： 日期：______年____月____日</w:t>
      </w:r>
    </w:p>
    <w:p w14:paraId="186405B7">
      <w:pPr>
        <w:numPr>
          <w:ilvl w:val="0"/>
          <w:numId w:val="0"/>
        </w:numPr>
        <w:spacing w:line="460" w:lineRule="exact"/>
        <w:ind w:firstLine="480" w:firstLineChars="200"/>
        <w:rPr>
          <w:rFonts w:hint="default" w:ascii="宋体" w:hAnsi="宋体" w:cs="宋体"/>
          <w:sz w:val="24"/>
          <w:szCs w:val="24"/>
          <w:lang w:val="en-US" w:eastAsia="zh-CN"/>
        </w:rPr>
      </w:pPr>
    </w:p>
    <w:p w14:paraId="100C2507">
      <w:pPr>
        <w:spacing w:before="159" w:beforeLines="50" w:after="159" w:afterLines="50" w:line="440" w:lineRule="atLeast"/>
        <w:jc w:val="center"/>
        <w:rPr>
          <w:rFonts w:ascii="宋体" w:hAnsi="宋体" w:cs="宋体"/>
          <w:b/>
          <w:bCs/>
          <w:sz w:val="28"/>
          <w:szCs w:val="28"/>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674DE1A7-2B04-4875-B3ED-EF64279CEFE8}"/>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monospace">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embedRegular r:id="rId2" w:fontKey="{69211847-FAE5-4EFE-A958-9D8CCCD5BBEF}"/>
  </w:font>
  <w:font w:name="WPSEMBED29">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2508">
    <w:pPr>
      <w:pStyle w:val="36"/>
      <w:tabs>
        <w:tab w:val="center" w:pos="4563"/>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250C">
    <w:pPr>
      <w:spacing w:line="359" w:lineRule="auto"/>
      <w:jc w:val="cente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C2514">
                          <w:pPr>
                            <w:pStyle w:val="3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00C2514">
                    <w:pPr>
                      <w:pStyle w:val="36"/>
                    </w:pPr>
                    <w:r>
                      <w:fldChar w:fldCharType="begin"/>
                    </w:r>
                    <w:r>
                      <w:instrText xml:space="preserve"> PAGE  \* MERGEFORMAT </w:instrText>
                    </w:r>
                    <w:r>
                      <w:fldChar w:fldCharType="separate"/>
                    </w:r>
                    <w:r>
                      <w:t>47</w:t>
                    </w:r>
                    <w:r>
                      <w:fldChar w:fldCharType="end"/>
                    </w:r>
                  </w:p>
                </w:txbxContent>
              </v:textbox>
            </v:shape>
          </w:pict>
        </mc:Fallback>
      </mc:AlternateContent>
    </w:r>
    <w:r>
      <w:rPr>
        <w:sz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0C2515">
                          <w:pPr>
                            <w:pStyle w:val="3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00C2515">
                    <w:pPr>
                      <w:pStyle w:val="3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25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3"/>
      <w:numFmt w:val="chineseCounting"/>
      <w:pStyle w:val="16"/>
      <w:suff w:val="space"/>
      <w:lvlText w:val="第%1章"/>
      <w:lvlJc w:val="left"/>
    </w:lvl>
  </w:abstractNum>
  <w:abstractNum w:abstractNumId="1">
    <w:nsid w:val="00232FDA"/>
    <w:multiLevelType w:val="singleLevel"/>
    <w:tmpl w:val="00232FDA"/>
    <w:lvl w:ilvl="0" w:tentative="0">
      <w:start w:val="9"/>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oNotHyphenateCaps/>
  <w:drawingGridHorizontalSpacing w:val="105"/>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28"/>
    <w:rsid w:val="00001BEB"/>
    <w:rsid w:val="0000228E"/>
    <w:rsid w:val="00002BD6"/>
    <w:rsid w:val="00003CA4"/>
    <w:rsid w:val="00005FD5"/>
    <w:rsid w:val="0001048E"/>
    <w:rsid w:val="000105A4"/>
    <w:rsid w:val="000110A2"/>
    <w:rsid w:val="00011796"/>
    <w:rsid w:val="00014068"/>
    <w:rsid w:val="0001470D"/>
    <w:rsid w:val="00015BD1"/>
    <w:rsid w:val="00016169"/>
    <w:rsid w:val="000173A2"/>
    <w:rsid w:val="00017BD5"/>
    <w:rsid w:val="00022C2E"/>
    <w:rsid w:val="00023A8A"/>
    <w:rsid w:val="00023C79"/>
    <w:rsid w:val="00024ACB"/>
    <w:rsid w:val="00027AA4"/>
    <w:rsid w:val="0003008D"/>
    <w:rsid w:val="00032D15"/>
    <w:rsid w:val="00033CF5"/>
    <w:rsid w:val="00035A1C"/>
    <w:rsid w:val="000376AE"/>
    <w:rsid w:val="00045506"/>
    <w:rsid w:val="00046AED"/>
    <w:rsid w:val="00051B98"/>
    <w:rsid w:val="00053A79"/>
    <w:rsid w:val="00055EF6"/>
    <w:rsid w:val="00057219"/>
    <w:rsid w:val="000623B1"/>
    <w:rsid w:val="000647FD"/>
    <w:rsid w:val="00067852"/>
    <w:rsid w:val="00070A7F"/>
    <w:rsid w:val="0008005A"/>
    <w:rsid w:val="00082297"/>
    <w:rsid w:val="00085322"/>
    <w:rsid w:val="00087C63"/>
    <w:rsid w:val="000906C9"/>
    <w:rsid w:val="00097203"/>
    <w:rsid w:val="000A0896"/>
    <w:rsid w:val="000A44D8"/>
    <w:rsid w:val="000A6C91"/>
    <w:rsid w:val="000A6D01"/>
    <w:rsid w:val="000B0918"/>
    <w:rsid w:val="000B1CC6"/>
    <w:rsid w:val="000B2160"/>
    <w:rsid w:val="000B4A21"/>
    <w:rsid w:val="000C0652"/>
    <w:rsid w:val="000C2197"/>
    <w:rsid w:val="000C2F79"/>
    <w:rsid w:val="000D091B"/>
    <w:rsid w:val="000D27AD"/>
    <w:rsid w:val="000D5B6C"/>
    <w:rsid w:val="000E0565"/>
    <w:rsid w:val="000E5F18"/>
    <w:rsid w:val="000F1198"/>
    <w:rsid w:val="000F2804"/>
    <w:rsid w:val="000F3240"/>
    <w:rsid w:val="000F3361"/>
    <w:rsid w:val="000F5635"/>
    <w:rsid w:val="0010231C"/>
    <w:rsid w:val="001034BF"/>
    <w:rsid w:val="0010539F"/>
    <w:rsid w:val="00105958"/>
    <w:rsid w:val="00105CAB"/>
    <w:rsid w:val="0010685A"/>
    <w:rsid w:val="00110404"/>
    <w:rsid w:val="00113224"/>
    <w:rsid w:val="001132C8"/>
    <w:rsid w:val="00117FB5"/>
    <w:rsid w:val="0012059C"/>
    <w:rsid w:val="001210B0"/>
    <w:rsid w:val="00123148"/>
    <w:rsid w:val="00123633"/>
    <w:rsid w:val="00123DC9"/>
    <w:rsid w:val="001273AC"/>
    <w:rsid w:val="0013073B"/>
    <w:rsid w:val="0013376F"/>
    <w:rsid w:val="00144B2C"/>
    <w:rsid w:val="00152D24"/>
    <w:rsid w:val="001534B1"/>
    <w:rsid w:val="001553E8"/>
    <w:rsid w:val="00163E42"/>
    <w:rsid w:val="001646A2"/>
    <w:rsid w:val="0017008C"/>
    <w:rsid w:val="00171D00"/>
    <w:rsid w:val="00176E1D"/>
    <w:rsid w:val="00177F7A"/>
    <w:rsid w:val="00181218"/>
    <w:rsid w:val="00190926"/>
    <w:rsid w:val="00190940"/>
    <w:rsid w:val="00191F1F"/>
    <w:rsid w:val="00192E56"/>
    <w:rsid w:val="001A09E9"/>
    <w:rsid w:val="001A5678"/>
    <w:rsid w:val="001B1703"/>
    <w:rsid w:val="001B2943"/>
    <w:rsid w:val="001B46E0"/>
    <w:rsid w:val="001B5A63"/>
    <w:rsid w:val="001C3051"/>
    <w:rsid w:val="001C320A"/>
    <w:rsid w:val="001C662C"/>
    <w:rsid w:val="001C7E57"/>
    <w:rsid w:val="001E184A"/>
    <w:rsid w:val="001F0699"/>
    <w:rsid w:val="001F187F"/>
    <w:rsid w:val="00200415"/>
    <w:rsid w:val="00210EDD"/>
    <w:rsid w:val="002112F5"/>
    <w:rsid w:val="00213085"/>
    <w:rsid w:val="00222644"/>
    <w:rsid w:val="002229C4"/>
    <w:rsid w:val="002311E8"/>
    <w:rsid w:val="00231D22"/>
    <w:rsid w:val="002334DB"/>
    <w:rsid w:val="00233681"/>
    <w:rsid w:val="00234F3B"/>
    <w:rsid w:val="00236237"/>
    <w:rsid w:val="00244210"/>
    <w:rsid w:val="0024432D"/>
    <w:rsid w:val="00244403"/>
    <w:rsid w:val="002444A8"/>
    <w:rsid w:val="0025362C"/>
    <w:rsid w:val="002547BA"/>
    <w:rsid w:val="0026420B"/>
    <w:rsid w:val="00266B85"/>
    <w:rsid w:val="0027337C"/>
    <w:rsid w:val="0028011C"/>
    <w:rsid w:val="002803C5"/>
    <w:rsid w:val="002808F1"/>
    <w:rsid w:val="00283CB9"/>
    <w:rsid w:val="00286146"/>
    <w:rsid w:val="0029008F"/>
    <w:rsid w:val="00291052"/>
    <w:rsid w:val="0029166A"/>
    <w:rsid w:val="0029593A"/>
    <w:rsid w:val="002A1878"/>
    <w:rsid w:val="002B29D8"/>
    <w:rsid w:val="002B2D9B"/>
    <w:rsid w:val="002C2F31"/>
    <w:rsid w:val="002C4E6F"/>
    <w:rsid w:val="002C5385"/>
    <w:rsid w:val="002D08B9"/>
    <w:rsid w:val="002D0BCA"/>
    <w:rsid w:val="002E26F9"/>
    <w:rsid w:val="002E533E"/>
    <w:rsid w:val="002E6376"/>
    <w:rsid w:val="002E7A12"/>
    <w:rsid w:val="002F095F"/>
    <w:rsid w:val="002F1EF9"/>
    <w:rsid w:val="002F2CC5"/>
    <w:rsid w:val="002F5079"/>
    <w:rsid w:val="00312950"/>
    <w:rsid w:val="00312C22"/>
    <w:rsid w:val="00317BC7"/>
    <w:rsid w:val="00317EB8"/>
    <w:rsid w:val="003237ED"/>
    <w:rsid w:val="00334EC3"/>
    <w:rsid w:val="00342626"/>
    <w:rsid w:val="00347AA7"/>
    <w:rsid w:val="00350855"/>
    <w:rsid w:val="00354671"/>
    <w:rsid w:val="00354C30"/>
    <w:rsid w:val="00360366"/>
    <w:rsid w:val="00362586"/>
    <w:rsid w:val="003642D5"/>
    <w:rsid w:val="00366463"/>
    <w:rsid w:val="00367AF6"/>
    <w:rsid w:val="00373AA6"/>
    <w:rsid w:val="0037453D"/>
    <w:rsid w:val="00374AB7"/>
    <w:rsid w:val="003823FD"/>
    <w:rsid w:val="003923AF"/>
    <w:rsid w:val="00393C36"/>
    <w:rsid w:val="003A2E26"/>
    <w:rsid w:val="003A506F"/>
    <w:rsid w:val="003A56C7"/>
    <w:rsid w:val="003B2250"/>
    <w:rsid w:val="003B6CD9"/>
    <w:rsid w:val="003C372F"/>
    <w:rsid w:val="003C4F04"/>
    <w:rsid w:val="003C6A0E"/>
    <w:rsid w:val="003C7176"/>
    <w:rsid w:val="003C7B70"/>
    <w:rsid w:val="003D05A1"/>
    <w:rsid w:val="003E11B5"/>
    <w:rsid w:val="003E1B13"/>
    <w:rsid w:val="003E596A"/>
    <w:rsid w:val="003F08F6"/>
    <w:rsid w:val="003F41E1"/>
    <w:rsid w:val="003F438F"/>
    <w:rsid w:val="003F598D"/>
    <w:rsid w:val="004023C7"/>
    <w:rsid w:val="0040279B"/>
    <w:rsid w:val="0041194B"/>
    <w:rsid w:val="004124F5"/>
    <w:rsid w:val="004142E0"/>
    <w:rsid w:val="0041587C"/>
    <w:rsid w:val="00415F8A"/>
    <w:rsid w:val="0041642A"/>
    <w:rsid w:val="00416B10"/>
    <w:rsid w:val="00417ECB"/>
    <w:rsid w:val="00420906"/>
    <w:rsid w:val="00425820"/>
    <w:rsid w:val="0042776C"/>
    <w:rsid w:val="00430319"/>
    <w:rsid w:val="0043557C"/>
    <w:rsid w:val="004357B0"/>
    <w:rsid w:val="004365F1"/>
    <w:rsid w:val="00436604"/>
    <w:rsid w:val="00436BE6"/>
    <w:rsid w:val="004411F1"/>
    <w:rsid w:val="00441D9A"/>
    <w:rsid w:val="00446B1C"/>
    <w:rsid w:val="00451451"/>
    <w:rsid w:val="004542C0"/>
    <w:rsid w:val="0045558C"/>
    <w:rsid w:val="00456B3F"/>
    <w:rsid w:val="00461959"/>
    <w:rsid w:val="00464442"/>
    <w:rsid w:val="0046733B"/>
    <w:rsid w:val="00470A48"/>
    <w:rsid w:val="00486A89"/>
    <w:rsid w:val="00486C58"/>
    <w:rsid w:val="00490A16"/>
    <w:rsid w:val="00492498"/>
    <w:rsid w:val="004937D4"/>
    <w:rsid w:val="0049710A"/>
    <w:rsid w:val="0049762A"/>
    <w:rsid w:val="004A7029"/>
    <w:rsid w:val="004A79B6"/>
    <w:rsid w:val="004B2115"/>
    <w:rsid w:val="004B564C"/>
    <w:rsid w:val="004B6E41"/>
    <w:rsid w:val="004B7193"/>
    <w:rsid w:val="004B753F"/>
    <w:rsid w:val="004C5721"/>
    <w:rsid w:val="004C6891"/>
    <w:rsid w:val="004C788C"/>
    <w:rsid w:val="004D03CA"/>
    <w:rsid w:val="004D0DF1"/>
    <w:rsid w:val="004D6696"/>
    <w:rsid w:val="004D7B64"/>
    <w:rsid w:val="004E7B4B"/>
    <w:rsid w:val="004F538E"/>
    <w:rsid w:val="00501F86"/>
    <w:rsid w:val="00502D8B"/>
    <w:rsid w:val="00503CC7"/>
    <w:rsid w:val="0050651D"/>
    <w:rsid w:val="005104A2"/>
    <w:rsid w:val="00511FAD"/>
    <w:rsid w:val="00514BA0"/>
    <w:rsid w:val="00516BAA"/>
    <w:rsid w:val="00523065"/>
    <w:rsid w:val="005231CB"/>
    <w:rsid w:val="00523F06"/>
    <w:rsid w:val="00525662"/>
    <w:rsid w:val="00525813"/>
    <w:rsid w:val="00532023"/>
    <w:rsid w:val="00533693"/>
    <w:rsid w:val="00534278"/>
    <w:rsid w:val="0053687C"/>
    <w:rsid w:val="00537775"/>
    <w:rsid w:val="00542300"/>
    <w:rsid w:val="00550DFB"/>
    <w:rsid w:val="00551950"/>
    <w:rsid w:val="00555337"/>
    <w:rsid w:val="005603CC"/>
    <w:rsid w:val="00561276"/>
    <w:rsid w:val="00562F3E"/>
    <w:rsid w:val="00563143"/>
    <w:rsid w:val="005663C6"/>
    <w:rsid w:val="00566A7B"/>
    <w:rsid w:val="005737E2"/>
    <w:rsid w:val="00573EFC"/>
    <w:rsid w:val="005740D6"/>
    <w:rsid w:val="00574A53"/>
    <w:rsid w:val="0058008D"/>
    <w:rsid w:val="00581A6D"/>
    <w:rsid w:val="005837D9"/>
    <w:rsid w:val="00584E19"/>
    <w:rsid w:val="00593DCD"/>
    <w:rsid w:val="00595306"/>
    <w:rsid w:val="005A00FF"/>
    <w:rsid w:val="005A0D1F"/>
    <w:rsid w:val="005A2904"/>
    <w:rsid w:val="005A3A71"/>
    <w:rsid w:val="005C33FB"/>
    <w:rsid w:val="005C60FB"/>
    <w:rsid w:val="005C6DDC"/>
    <w:rsid w:val="005D1F6D"/>
    <w:rsid w:val="005D3F92"/>
    <w:rsid w:val="005D5BF3"/>
    <w:rsid w:val="005D64E0"/>
    <w:rsid w:val="005E4202"/>
    <w:rsid w:val="005E47A3"/>
    <w:rsid w:val="005E4BD9"/>
    <w:rsid w:val="005E61DF"/>
    <w:rsid w:val="005F049F"/>
    <w:rsid w:val="005F0CE0"/>
    <w:rsid w:val="005F1E13"/>
    <w:rsid w:val="005F6D09"/>
    <w:rsid w:val="005F795E"/>
    <w:rsid w:val="00602485"/>
    <w:rsid w:val="00604335"/>
    <w:rsid w:val="00605D20"/>
    <w:rsid w:val="00612E23"/>
    <w:rsid w:val="006131FB"/>
    <w:rsid w:val="006139CC"/>
    <w:rsid w:val="00613B7F"/>
    <w:rsid w:val="00614869"/>
    <w:rsid w:val="00622504"/>
    <w:rsid w:val="0062551D"/>
    <w:rsid w:val="00630D14"/>
    <w:rsid w:val="00632E1E"/>
    <w:rsid w:val="00640C9E"/>
    <w:rsid w:val="00641D41"/>
    <w:rsid w:val="00644F4A"/>
    <w:rsid w:val="00650F8E"/>
    <w:rsid w:val="0065216F"/>
    <w:rsid w:val="00653782"/>
    <w:rsid w:val="006570B0"/>
    <w:rsid w:val="00660009"/>
    <w:rsid w:val="00660580"/>
    <w:rsid w:val="0066079D"/>
    <w:rsid w:val="00660E91"/>
    <w:rsid w:val="006661BC"/>
    <w:rsid w:val="00666506"/>
    <w:rsid w:val="0067060B"/>
    <w:rsid w:val="006718B3"/>
    <w:rsid w:val="0067694B"/>
    <w:rsid w:val="006829A2"/>
    <w:rsid w:val="00684C28"/>
    <w:rsid w:val="00684D78"/>
    <w:rsid w:val="00687B22"/>
    <w:rsid w:val="006911D2"/>
    <w:rsid w:val="0069246C"/>
    <w:rsid w:val="006A195E"/>
    <w:rsid w:val="006A1A47"/>
    <w:rsid w:val="006A3198"/>
    <w:rsid w:val="006A61AA"/>
    <w:rsid w:val="006A765A"/>
    <w:rsid w:val="006B2B28"/>
    <w:rsid w:val="006B3F6C"/>
    <w:rsid w:val="006B4438"/>
    <w:rsid w:val="006B5723"/>
    <w:rsid w:val="006C2511"/>
    <w:rsid w:val="006C6692"/>
    <w:rsid w:val="006D2A06"/>
    <w:rsid w:val="006D564C"/>
    <w:rsid w:val="006D61D2"/>
    <w:rsid w:val="006F3AE4"/>
    <w:rsid w:val="0070003D"/>
    <w:rsid w:val="007059DB"/>
    <w:rsid w:val="007063F2"/>
    <w:rsid w:val="00714313"/>
    <w:rsid w:val="0071713D"/>
    <w:rsid w:val="00720DAC"/>
    <w:rsid w:val="0072120A"/>
    <w:rsid w:val="00726460"/>
    <w:rsid w:val="00726DFB"/>
    <w:rsid w:val="00731190"/>
    <w:rsid w:val="0073193D"/>
    <w:rsid w:val="00735F1F"/>
    <w:rsid w:val="007417B8"/>
    <w:rsid w:val="007434AE"/>
    <w:rsid w:val="00744169"/>
    <w:rsid w:val="00745361"/>
    <w:rsid w:val="00746AFB"/>
    <w:rsid w:val="007507B2"/>
    <w:rsid w:val="00752191"/>
    <w:rsid w:val="0075259D"/>
    <w:rsid w:val="00754788"/>
    <w:rsid w:val="00755518"/>
    <w:rsid w:val="00756AED"/>
    <w:rsid w:val="00756DC9"/>
    <w:rsid w:val="007625A0"/>
    <w:rsid w:val="00762F20"/>
    <w:rsid w:val="00763193"/>
    <w:rsid w:val="00765474"/>
    <w:rsid w:val="0076718B"/>
    <w:rsid w:val="00774195"/>
    <w:rsid w:val="00775E68"/>
    <w:rsid w:val="00780407"/>
    <w:rsid w:val="007816DE"/>
    <w:rsid w:val="0078310C"/>
    <w:rsid w:val="0078337F"/>
    <w:rsid w:val="00785FC2"/>
    <w:rsid w:val="00794BC5"/>
    <w:rsid w:val="00795141"/>
    <w:rsid w:val="007A36AB"/>
    <w:rsid w:val="007A439F"/>
    <w:rsid w:val="007A465D"/>
    <w:rsid w:val="007B75EF"/>
    <w:rsid w:val="007C004B"/>
    <w:rsid w:val="007C084C"/>
    <w:rsid w:val="007C21C9"/>
    <w:rsid w:val="007C2BAF"/>
    <w:rsid w:val="007C31B4"/>
    <w:rsid w:val="007D0153"/>
    <w:rsid w:val="007D219E"/>
    <w:rsid w:val="007D4DCA"/>
    <w:rsid w:val="007D6709"/>
    <w:rsid w:val="007D68DE"/>
    <w:rsid w:val="007E2200"/>
    <w:rsid w:val="007F03C5"/>
    <w:rsid w:val="007F1B4A"/>
    <w:rsid w:val="007F1CA7"/>
    <w:rsid w:val="007F4686"/>
    <w:rsid w:val="007F4EF0"/>
    <w:rsid w:val="007F579C"/>
    <w:rsid w:val="007F5FB1"/>
    <w:rsid w:val="007F6646"/>
    <w:rsid w:val="00805A19"/>
    <w:rsid w:val="008079BC"/>
    <w:rsid w:val="00812AD0"/>
    <w:rsid w:val="00812FCD"/>
    <w:rsid w:val="00816857"/>
    <w:rsid w:val="00820028"/>
    <w:rsid w:val="0082174D"/>
    <w:rsid w:val="00822660"/>
    <w:rsid w:val="00822C65"/>
    <w:rsid w:val="008236DC"/>
    <w:rsid w:val="0082546A"/>
    <w:rsid w:val="0083115A"/>
    <w:rsid w:val="008316FE"/>
    <w:rsid w:val="00831E59"/>
    <w:rsid w:val="00833EE4"/>
    <w:rsid w:val="00836F62"/>
    <w:rsid w:val="00837FE3"/>
    <w:rsid w:val="00840CE7"/>
    <w:rsid w:val="008416F1"/>
    <w:rsid w:val="00842965"/>
    <w:rsid w:val="00842A8B"/>
    <w:rsid w:val="00843047"/>
    <w:rsid w:val="00846D16"/>
    <w:rsid w:val="00847A81"/>
    <w:rsid w:val="008537EC"/>
    <w:rsid w:val="00857EFC"/>
    <w:rsid w:val="0086176C"/>
    <w:rsid w:val="00862A14"/>
    <w:rsid w:val="0086696C"/>
    <w:rsid w:val="00877BCE"/>
    <w:rsid w:val="0088029F"/>
    <w:rsid w:val="0088035F"/>
    <w:rsid w:val="0088118D"/>
    <w:rsid w:val="00881AAF"/>
    <w:rsid w:val="0088703C"/>
    <w:rsid w:val="00892CE7"/>
    <w:rsid w:val="00897194"/>
    <w:rsid w:val="00897275"/>
    <w:rsid w:val="008A2118"/>
    <w:rsid w:val="008A293B"/>
    <w:rsid w:val="008A4E38"/>
    <w:rsid w:val="008A5C39"/>
    <w:rsid w:val="008A6CDD"/>
    <w:rsid w:val="008A7103"/>
    <w:rsid w:val="008B262E"/>
    <w:rsid w:val="008B4893"/>
    <w:rsid w:val="008B739B"/>
    <w:rsid w:val="008C1E6B"/>
    <w:rsid w:val="008C3922"/>
    <w:rsid w:val="008C4432"/>
    <w:rsid w:val="008D2B70"/>
    <w:rsid w:val="008D30DE"/>
    <w:rsid w:val="008D3DC9"/>
    <w:rsid w:val="008D76CC"/>
    <w:rsid w:val="008E1C15"/>
    <w:rsid w:val="008E5FB4"/>
    <w:rsid w:val="008E75F7"/>
    <w:rsid w:val="008E7DAF"/>
    <w:rsid w:val="008F1649"/>
    <w:rsid w:val="009003C7"/>
    <w:rsid w:val="009025C0"/>
    <w:rsid w:val="00903F6A"/>
    <w:rsid w:val="00905381"/>
    <w:rsid w:val="0090672B"/>
    <w:rsid w:val="00915704"/>
    <w:rsid w:val="00917151"/>
    <w:rsid w:val="00920DC9"/>
    <w:rsid w:val="009225BF"/>
    <w:rsid w:val="009263AE"/>
    <w:rsid w:val="00926B16"/>
    <w:rsid w:val="00926DBC"/>
    <w:rsid w:val="00926F17"/>
    <w:rsid w:val="0093021E"/>
    <w:rsid w:val="00932DBC"/>
    <w:rsid w:val="009347F2"/>
    <w:rsid w:val="00940EBD"/>
    <w:rsid w:val="00945D35"/>
    <w:rsid w:val="00952F3F"/>
    <w:rsid w:val="009530EA"/>
    <w:rsid w:val="00955846"/>
    <w:rsid w:val="00963D1E"/>
    <w:rsid w:val="00964F7D"/>
    <w:rsid w:val="009663C9"/>
    <w:rsid w:val="00967F21"/>
    <w:rsid w:val="009702E3"/>
    <w:rsid w:val="00972F84"/>
    <w:rsid w:val="00974F2A"/>
    <w:rsid w:val="009767BA"/>
    <w:rsid w:val="0098191D"/>
    <w:rsid w:val="00983457"/>
    <w:rsid w:val="00985314"/>
    <w:rsid w:val="00985FC7"/>
    <w:rsid w:val="00991EA4"/>
    <w:rsid w:val="00992253"/>
    <w:rsid w:val="009A4C43"/>
    <w:rsid w:val="009B02AF"/>
    <w:rsid w:val="009B0A45"/>
    <w:rsid w:val="009B2EB3"/>
    <w:rsid w:val="009B628C"/>
    <w:rsid w:val="009C3801"/>
    <w:rsid w:val="009D782B"/>
    <w:rsid w:val="009D7DC3"/>
    <w:rsid w:val="009E1DD0"/>
    <w:rsid w:val="009E5522"/>
    <w:rsid w:val="009E66D5"/>
    <w:rsid w:val="009F0E91"/>
    <w:rsid w:val="009F3486"/>
    <w:rsid w:val="009F54D0"/>
    <w:rsid w:val="009F795E"/>
    <w:rsid w:val="00A00B29"/>
    <w:rsid w:val="00A042AA"/>
    <w:rsid w:val="00A05073"/>
    <w:rsid w:val="00A06254"/>
    <w:rsid w:val="00A13912"/>
    <w:rsid w:val="00A16B7A"/>
    <w:rsid w:val="00A204F6"/>
    <w:rsid w:val="00A20D24"/>
    <w:rsid w:val="00A2498C"/>
    <w:rsid w:val="00A32A8E"/>
    <w:rsid w:val="00A34309"/>
    <w:rsid w:val="00A3742E"/>
    <w:rsid w:val="00A40F28"/>
    <w:rsid w:val="00A416C0"/>
    <w:rsid w:val="00A43042"/>
    <w:rsid w:val="00A45D32"/>
    <w:rsid w:val="00A46F90"/>
    <w:rsid w:val="00A52FB2"/>
    <w:rsid w:val="00A72BCA"/>
    <w:rsid w:val="00A7467A"/>
    <w:rsid w:val="00A7625D"/>
    <w:rsid w:val="00A800A3"/>
    <w:rsid w:val="00A83692"/>
    <w:rsid w:val="00A83FA9"/>
    <w:rsid w:val="00A85017"/>
    <w:rsid w:val="00A85626"/>
    <w:rsid w:val="00A856AC"/>
    <w:rsid w:val="00A866F4"/>
    <w:rsid w:val="00A912EB"/>
    <w:rsid w:val="00A91513"/>
    <w:rsid w:val="00A9212F"/>
    <w:rsid w:val="00A96915"/>
    <w:rsid w:val="00AA3DC8"/>
    <w:rsid w:val="00AA722B"/>
    <w:rsid w:val="00AB0663"/>
    <w:rsid w:val="00AB22B9"/>
    <w:rsid w:val="00AB7B40"/>
    <w:rsid w:val="00AC2043"/>
    <w:rsid w:val="00AC7DBA"/>
    <w:rsid w:val="00AD0976"/>
    <w:rsid w:val="00AD1597"/>
    <w:rsid w:val="00AD27A5"/>
    <w:rsid w:val="00AD4336"/>
    <w:rsid w:val="00AD4373"/>
    <w:rsid w:val="00AD6D53"/>
    <w:rsid w:val="00AD7273"/>
    <w:rsid w:val="00AE4A33"/>
    <w:rsid w:val="00AE72F7"/>
    <w:rsid w:val="00AF08C5"/>
    <w:rsid w:val="00AF2741"/>
    <w:rsid w:val="00AF580E"/>
    <w:rsid w:val="00AF648F"/>
    <w:rsid w:val="00B00C82"/>
    <w:rsid w:val="00B0336D"/>
    <w:rsid w:val="00B0572E"/>
    <w:rsid w:val="00B07191"/>
    <w:rsid w:val="00B10C21"/>
    <w:rsid w:val="00B117F2"/>
    <w:rsid w:val="00B12A20"/>
    <w:rsid w:val="00B15F33"/>
    <w:rsid w:val="00B16461"/>
    <w:rsid w:val="00B17C0D"/>
    <w:rsid w:val="00B17DF2"/>
    <w:rsid w:val="00B20E26"/>
    <w:rsid w:val="00B33F42"/>
    <w:rsid w:val="00B34E0E"/>
    <w:rsid w:val="00B350AF"/>
    <w:rsid w:val="00B3512C"/>
    <w:rsid w:val="00B36C3B"/>
    <w:rsid w:val="00B436FF"/>
    <w:rsid w:val="00B4412C"/>
    <w:rsid w:val="00B44505"/>
    <w:rsid w:val="00B452E3"/>
    <w:rsid w:val="00B47952"/>
    <w:rsid w:val="00B502BB"/>
    <w:rsid w:val="00B51DD7"/>
    <w:rsid w:val="00B54019"/>
    <w:rsid w:val="00B55240"/>
    <w:rsid w:val="00B57B22"/>
    <w:rsid w:val="00B66897"/>
    <w:rsid w:val="00B66B30"/>
    <w:rsid w:val="00B73637"/>
    <w:rsid w:val="00B753CD"/>
    <w:rsid w:val="00B844D7"/>
    <w:rsid w:val="00B90055"/>
    <w:rsid w:val="00B93B83"/>
    <w:rsid w:val="00BA1BDF"/>
    <w:rsid w:val="00BA5115"/>
    <w:rsid w:val="00BC525A"/>
    <w:rsid w:val="00BC661C"/>
    <w:rsid w:val="00BC7B6D"/>
    <w:rsid w:val="00BC7C59"/>
    <w:rsid w:val="00BD122B"/>
    <w:rsid w:val="00BD3400"/>
    <w:rsid w:val="00BE1C14"/>
    <w:rsid w:val="00BE27AB"/>
    <w:rsid w:val="00BE33BC"/>
    <w:rsid w:val="00BE59BC"/>
    <w:rsid w:val="00BF2814"/>
    <w:rsid w:val="00BF308C"/>
    <w:rsid w:val="00C0082B"/>
    <w:rsid w:val="00C04BA7"/>
    <w:rsid w:val="00C04D7A"/>
    <w:rsid w:val="00C05C06"/>
    <w:rsid w:val="00C070F5"/>
    <w:rsid w:val="00C11E1E"/>
    <w:rsid w:val="00C136D4"/>
    <w:rsid w:val="00C147F6"/>
    <w:rsid w:val="00C307F3"/>
    <w:rsid w:val="00C32168"/>
    <w:rsid w:val="00C3644E"/>
    <w:rsid w:val="00C435F8"/>
    <w:rsid w:val="00C44EBB"/>
    <w:rsid w:val="00C46228"/>
    <w:rsid w:val="00C470EA"/>
    <w:rsid w:val="00C56FA1"/>
    <w:rsid w:val="00C5749A"/>
    <w:rsid w:val="00C6595D"/>
    <w:rsid w:val="00C6599F"/>
    <w:rsid w:val="00C66647"/>
    <w:rsid w:val="00C667D9"/>
    <w:rsid w:val="00C70F0E"/>
    <w:rsid w:val="00C71E8D"/>
    <w:rsid w:val="00C76A78"/>
    <w:rsid w:val="00C8220F"/>
    <w:rsid w:val="00C91178"/>
    <w:rsid w:val="00C921FF"/>
    <w:rsid w:val="00C929A2"/>
    <w:rsid w:val="00C9785B"/>
    <w:rsid w:val="00CA184D"/>
    <w:rsid w:val="00CA2D30"/>
    <w:rsid w:val="00CA398C"/>
    <w:rsid w:val="00CB0E3A"/>
    <w:rsid w:val="00CB11BC"/>
    <w:rsid w:val="00CB17A2"/>
    <w:rsid w:val="00CB440A"/>
    <w:rsid w:val="00CB66AF"/>
    <w:rsid w:val="00CB735D"/>
    <w:rsid w:val="00CC42CB"/>
    <w:rsid w:val="00CC5C77"/>
    <w:rsid w:val="00CC6B0F"/>
    <w:rsid w:val="00CD03F5"/>
    <w:rsid w:val="00CD2C31"/>
    <w:rsid w:val="00CD3085"/>
    <w:rsid w:val="00CD3502"/>
    <w:rsid w:val="00CD4D8A"/>
    <w:rsid w:val="00CD68C1"/>
    <w:rsid w:val="00CF3B10"/>
    <w:rsid w:val="00CF54CF"/>
    <w:rsid w:val="00D10446"/>
    <w:rsid w:val="00D134AB"/>
    <w:rsid w:val="00D232FF"/>
    <w:rsid w:val="00D25EB6"/>
    <w:rsid w:val="00D342EA"/>
    <w:rsid w:val="00D3735D"/>
    <w:rsid w:val="00D44CD7"/>
    <w:rsid w:val="00D4650B"/>
    <w:rsid w:val="00D53D3A"/>
    <w:rsid w:val="00D554DA"/>
    <w:rsid w:val="00D55AC7"/>
    <w:rsid w:val="00D560E0"/>
    <w:rsid w:val="00D57C59"/>
    <w:rsid w:val="00D6305B"/>
    <w:rsid w:val="00D63F34"/>
    <w:rsid w:val="00D65884"/>
    <w:rsid w:val="00D72377"/>
    <w:rsid w:val="00D74313"/>
    <w:rsid w:val="00D75EC9"/>
    <w:rsid w:val="00D86E47"/>
    <w:rsid w:val="00D87567"/>
    <w:rsid w:val="00D90924"/>
    <w:rsid w:val="00D93FEC"/>
    <w:rsid w:val="00D971B8"/>
    <w:rsid w:val="00D97A5A"/>
    <w:rsid w:val="00DA33AC"/>
    <w:rsid w:val="00DA3F6B"/>
    <w:rsid w:val="00DA6753"/>
    <w:rsid w:val="00DA78E1"/>
    <w:rsid w:val="00DB2D14"/>
    <w:rsid w:val="00DC1D58"/>
    <w:rsid w:val="00DC1E5A"/>
    <w:rsid w:val="00DC2D25"/>
    <w:rsid w:val="00DC3BFA"/>
    <w:rsid w:val="00DC3F79"/>
    <w:rsid w:val="00DC46F8"/>
    <w:rsid w:val="00DC5E60"/>
    <w:rsid w:val="00DC67C3"/>
    <w:rsid w:val="00DC7727"/>
    <w:rsid w:val="00DD210C"/>
    <w:rsid w:val="00DE4944"/>
    <w:rsid w:val="00DE70BA"/>
    <w:rsid w:val="00DF0A1A"/>
    <w:rsid w:val="00DF1622"/>
    <w:rsid w:val="00DF2605"/>
    <w:rsid w:val="00DF3D96"/>
    <w:rsid w:val="00DF6462"/>
    <w:rsid w:val="00DF724C"/>
    <w:rsid w:val="00E0429C"/>
    <w:rsid w:val="00E07CFC"/>
    <w:rsid w:val="00E07FFC"/>
    <w:rsid w:val="00E11641"/>
    <w:rsid w:val="00E11874"/>
    <w:rsid w:val="00E15B96"/>
    <w:rsid w:val="00E23B32"/>
    <w:rsid w:val="00E2696C"/>
    <w:rsid w:val="00E3016F"/>
    <w:rsid w:val="00E30357"/>
    <w:rsid w:val="00E33A20"/>
    <w:rsid w:val="00E34EA3"/>
    <w:rsid w:val="00E369DC"/>
    <w:rsid w:val="00E421D6"/>
    <w:rsid w:val="00E42F6D"/>
    <w:rsid w:val="00E45F4E"/>
    <w:rsid w:val="00E46D03"/>
    <w:rsid w:val="00E528EC"/>
    <w:rsid w:val="00E535D9"/>
    <w:rsid w:val="00E5504E"/>
    <w:rsid w:val="00E55797"/>
    <w:rsid w:val="00E644D6"/>
    <w:rsid w:val="00E651E4"/>
    <w:rsid w:val="00E678AE"/>
    <w:rsid w:val="00E767C2"/>
    <w:rsid w:val="00E80EF0"/>
    <w:rsid w:val="00E811CE"/>
    <w:rsid w:val="00E81325"/>
    <w:rsid w:val="00E813EC"/>
    <w:rsid w:val="00E81D35"/>
    <w:rsid w:val="00E82FA5"/>
    <w:rsid w:val="00E83B4E"/>
    <w:rsid w:val="00E9093A"/>
    <w:rsid w:val="00E9242F"/>
    <w:rsid w:val="00E924F4"/>
    <w:rsid w:val="00E92DD5"/>
    <w:rsid w:val="00E9543D"/>
    <w:rsid w:val="00E97041"/>
    <w:rsid w:val="00EA5D14"/>
    <w:rsid w:val="00EB24A5"/>
    <w:rsid w:val="00EB5171"/>
    <w:rsid w:val="00EB5E46"/>
    <w:rsid w:val="00ED0C28"/>
    <w:rsid w:val="00ED2337"/>
    <w:rsid w:val="00ED299D"/>
    <w:rsid w:val="00ED2DA5"/>
    <w:rsid w:val="00ED536C"/>
    <w:rsid w:val="00ED7B6A"/>
    <w:rsid w:val="00EE1219"/>
    <w:rsid w:val="00EE3907"/>
    <w:rsid w:val="00EF5668"/>
    <w:rsid w:val="00EF7067"/>
    <w:rsid w:val="00F02869"/>
    <w:rsid w:val="00F11963"/>
    <w:rsid w:val="00F15EA0"/>
    <w:rsid w:val="00F16C7E"/>
    <w:rsid w:val="00F25D8B"/>
    <w:rsid w:val="00F301AB"/>
    <w:rsid w:val="00F33E76"/>
    <w:rsid w:val="00F34B8C"/>
    <w:rsid w:val="00F35026"/>
    <w:rsid w:val="00F357E5"/>
    <w:rsid w:val="00F37588"/>
    <w:rsid w:val="00F37CC5"/>
    <w:rsid w:val="00F43B02"/>
    <w:rsid w:val="00F4789E"/>
    <w:rsid w:val="00F516B2"/>
    <w:rsid w:val="00F5386A"/>
    <w:rsid w:val="00F54978"/>
    <w:rsid w:val="00F62BD1"/>
    <w:rsid w:val="00F71CA5"/>
    <w:rsid w:val="00F72325"/>
    <w:rsid w:val="00F745A5"/>
    <w:rsid w:val="00F753E6"/>
    <w:rsid w:val="00F826C2"/>
    <w:rsid w:val="00F8434E"/>
    <w:rsid w:val="00F844C3"/>
    <w:rsid w:val="00F862E0"/>
    <w:rsid w:val="00F864CC"/>
    <w:rsid w:val="00F870D9"/>
    <w:rsid w:val="00F87E23"/>
    <w:rsid w:val="00F93DBD"/>
    <w:rsid w:val="00FA37AD"/>
    <w:rsid w:val="00FA3ABF"/>
    <w:rsid w:val="00FA6860"/>
    <w:rsid w:val="00FA6D2C"/>
    <w:rsid w:val="00FB02DB"/>
    <w:rsid w:val="00FB1138"/>
    <w:rsid w:val="00FB1D77"/>
    <w:rsid w:val="00FB351C"/>
    <w:rsid w:val="00FB4198"/>
    <w:rsid w:val="00FB595F"/>
    <w:rsid w:val="00FC2296"/>
    <w:rsid w:val="00FC6D79"/>
    <w:rsid w:val="00FD00C8"/>
    <w:rsid w:val="00FD02F6"/>
    <w:rsid w:val="00FD29E7"/>
    <w:rsid w:val="00FD3095"/>
    <w:rsid w:val="00FD4985"/>
    <w:rsid w:val="00FD62C9"/>
    <w:rsid w:val="00FD7A23"/>
    <w:rsid w:val="00FE05F9"/>
    <w:rsid w:val="00FE2F24"/>
    <w:rsid w:val="00FF2732"/>
    <w:rsid w:val="00FF4FE7"/>
    <w:rsid w:val="00FF51AB"/>
    <w:rsid w:val="012751B9"/>
    <w:rsid w:val="01BE3712"/>
    <w:rsid w:val="02A775B6"/>
    <w:rsid w:val="02E916F1"/>
    <w:rsid w:val="03C020B7"/>
    <w:rsid w:val="04821EF4"/>
    <w:rsid w:val="07554A07"/>
    <w:rsid w:val="09081E35"/>
    <w:rsid w:val="09C23E3D"/>
    <w:rsid w:val="0A21567E"/>
    <w:rsid w:val="0B8E698C"/>
    <w:rsid w:val="0BD213C6"/>
    <w:rsid w:val="0C662A91"/>
    <w:rsid w:val="0CD143AE"/>
    <w:rsid w:val="0D5C668E"/>
    <w:rsid w:val="0E2157CC"/>
    <w:rsid w:val="0E3742B0"/>
    <w:rsid w:val="0E43308A"/>
    <w:rsid w:val="0F5578EA"/>
    <w:rsid w:val="11026A73"/>
    <w:rsid w:val="11491B7A"/>
    <w:rsid w:val="119C142F"/>
    <w:rsid w:val="130F69CD"/>
    <w:rsid w:val="135875D7"/>
    <w:rsid w:val="15053DBA"/>
    <w:rsid w:val="164C3168"/>
    <w:rsid w:val="16B334CA"/>
    <w:rsid w:val="175E0F34"/>
    <w:rsid w:val="17C10FAA"/>
    <w:rsid w:val="1A6A284D"/>
    <w:rsid w:val="1BE85270"/>
    <w:rsid w:val="1D1B7512"/>
    <w:rsid w:val="1D6A7F74"/>
    <w:rsid w:val="1E225F9B"/>
    <w:rsid w:val="21A72DE0"/>
    <w:rsid w:val="222608A0"/>
    <w:rsid w:val="23405329"/>
    <w:rsid w:val="268B1C41"/>
    <w:rsid w:val="27790DF5"/>
    <w:rsid w:val="278E55F7"/>
    <w:rsid w:val="27BD5803"/>
    <w:rsid w:val="27CB3465"/>
    <w:rsid w:val="28DF38F9"/>
    <w:rsid w:val="29C90CD6"/>
    <w:rsid w:val="2A271DB1"/>
    <w:rsid w:val="2AA31731"/>
    <w:rsid w:val="2B155C13"/>
    <w:rsid w:val="2B4650E2"/>
    <w:rsid w:val="2B6C7A10"/>
    <w:rsid w:val="2B6E5792"/>
    <w:rsid w:val="2C1D0F66"/>
    <w:rsid w:val="2E9F5C62"/>
    <w:rsid w:val="2EA550E9"/>
    <w:rsid w:val="2EF07842"/>
    <w:rsid w:val="31E54F89"/>
    <w:rsid w:val="31ED4B77"/>
    <w:rsid w:val="32C57A52"/>
    <w:rsid w:val="33A92C1F"/>
    <w:rsid w:val="33F84919"/>
    <w:rsid w:val="34465918"/>
    <w:rsid w:val="347156A5"/>
    <w:rsid w:val="35490CA1"/>
    <w:rsid w:val="361F6AAE"/>
    <w:rsid w:val="36E7248B"/>
    <w:rsid w:val="37C14E9C"/>
    <w:rsid w:val="38E76B84"/>
    <w:rsid w:val="3A2438BE"/>
    <w:rsid w:val="3B385FFA"/>
    <w:rsid w:val="3BA4565D"/>
    <w:rsid w:val="3CFB47F7"/>
    <w:rsid w:val="3F4318C1"/>
    <w:rsid w:val="3F5B7984"/>
    <w:rsid w:val="3FE80D1D"/>
    <w:rsid w:val="404C1295"/>
    <w:rsid w:val="40B604B8"/>
    <w:rsid w:val="427B799B"/>
    <w:rsid w:val="42A96C58"/>
    <w:rsid w:val="433F731F"/>
    <w:rsid w:val="43E32591"/>
    <w:rsid w:val="440D4EE0"/>
    <w:rsid w:val="442D67AD"/>
    <w:rsid w:val="445D23CC"/>
    <w:rsid w:val="44881900"/>
    <w:rsid w:val="44F42F7C"/>
    <w:rsid w:val="45C010FC"/>
    <w:rsid w:val="46A03047"/>
    <w:rsid w:val="47A55392"/>
    <w:rsid w:val="47CD4575"/>
    <w:rsid w:val="48CB3D43"/>
    <w:rsid w:val="4934502A"/>
    <w:rsid w:val="49CD505C"/>
    <w:rsid w:val="49FF2829"/>
    <w:rsid w:val="4A227FCE"/>
    <w:rsid w:val="4A8E5FD5"/>
    <w:rsid w:val="4CC96874"/>
    <w:rsid w:val="4F6A78DE"/>
    <w:rsid w:val="5036475F"/>
    <w:rsid w:val="5266487B"/>
    <w:rsid w:val="532661FA"/>
    <w:rsid w:val="534C59CF"/>
    <w:rsid w:val="53B2385F"/>
    <w:rsid w:val="5506735F"/>
    <w:rsid w:val="557E6192"/>
    <w:rsid w:val="575F061B"/>
    <w:rsid w:val="58CC515D"/>
    <w:rsid w:val="59605B07"/>
    <w:rsid w:val="597B7042"/>
    <w:rsid w:val="59F11098"/>
    <w:rsid w:val="5B4E0404"/>
    <w:rsid w:val="5DF834AD"/>
    <w:rsid w:val="5E230800"/>
    <w:rsid w:val="5E2806F0"/>
    <w:rsid w:val="5EFB03E4"/>
    <w:rsid w:val="5F1D21E2"/>
    <w:rsid w:val="5F8118CB"/>
    <w:rsid w:val="5FC5531B"/>
    <w:rsid w:val="60610357"/>
    <w:rsid w:val="60826ECC"/>
    <w:rsid w:val="60F90953"/>
    <w:rsid w:val="61184319"/>
    <w:rsid w:val="618E2479"/>
    <w:rsid w:val="620512B2"/>
    <w:rsid w:val="6243457B"/>
    <w:rsid w:val="627F6860"/>
    <w:rsid w:val="628A0BC7"/>
    <w:rsid w:val="63207D31"/>
    <w:rsid w:val="63232E40"/>
    <w:rsid w:val="632B23DC"/>
    <w:rsid w:val="63763404"/>
    <w:rsid w:val="6391320B"/>
    <w:rsid w:val="640A35A3"/>
    <w:rsid w:val="64617E2E"/>
    <w:rsid w:val="651D7990"/>
    <w:rsid w:val="652E506F"/>
    <w:rsid w:val="65305110"/>
    <w:rsid w:val="66101FB6"/>
    <w:rsid w:val="66B4291D"/>
    <w:rsid w:val="687C4EB1"/>
    <w:rsid w:val="69432017"/>
    <w:rsid w:val="6A3D7F9B"/>
    <w:rsid w:val="6C3F6A52"/>
    <w:rsid w:val="6D4D1918"/>
    <w:rsid w:val="6D695A98"/>
    <w:rsid w:val="6E072901"/>
    <w:rsid w:val="6E5643DA"/>
    <w:rsid w:val="6F343D4C"/>
    <w:rsid w:val="6FDD4D55"/>
    <w:rsid w:val="712C625C"/>
    <w:rsid w:val="71C61CBA"/>
    <w:rsid w:val="72AB239F"/>
    <w:rsid w:val="73EE6EEB"/>
    <w:rsid w:val="75A1338B"/>
    <w:rsid w:val="75AA3981"/>
    <w:rsid w:val="75C669B6"/>
    <w:rsid w:val="7652059A"/>
    <w:rsid w:val="783E7867"/>
    <w:rsid w:val="78A70683"/>
    <w:rsid w:val="79EE196A"/>
    <w:rsid w:val="7A713685"/>
    <w:rsid w:val="7BBA3292"/>
    <w:rsid w:val="7BDD1D3A"/>
    <w:rsid w:val="7D1D4AF7"/>
    <w:rsid w:val="7E186464"/>
    <w:rsid w:val="7E481CEF"/>
    <w:rsid w:val="7EA424EC"/>
    <w:rsid w:val="7F877D0B"/>
    <w:rsid w:val="7F8A5140"/>
    <w:rsid w:val="7FE441A3"/>
    <w:rsid w:val="7FE877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iPriority="99" w:semiHidden="0" w:name="envelope return" w:locked="1"/>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99" w:name="toa heading"/>
    <w:lsdException w:qFormat="1" w:unhideWhenUsed="0" w:uiPriority="99" w:semiHidden="0" w:name="List"/>
    <w:lsdException w:qFormat="1" w:unhideWhenUsed="0" w:uiPriority="99" w:semiHidden="0" w:name="List Bullet"/>
    <w:lsdException w:uiPriority="99" w:name="List Number" w:locked="1"/>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iPriority="99" w:name="HTML Acronym" w:locked="1"/>
    <w:lsdException w:uiPriority="99" w:name="HTML Address" w:locked="1"/>
    <w:lsdException w:qFormat="1" w:uiPriority="99" w:name="HTML Cite" w:locked="1"/>
    <w:lsdException w:qFormat="1" w:uiPriority="99" w:name="HTML Code" w:locked="1"/>
    <w:lsdException w:qFormat="1" w:uiPriority="99" w:name="HTML Definition" w:locked="1"/>
    <w:lsdException w:qFormat="1" w:uiPriority="99" w:name="HTML Keyboard" w:locked="1"/>
    <w:lsdException w:qFormat="1" w:unhideWhenUsed="0" w:uiPriority="99" w:semiHidden="0" w:name="HTML Preformatted"/>
    <w:lsdException w:qFormat="1" w:uiPriority="99" w:name="HTML Sample" w:locked="1"/>
    <w:lsdException w:qFormat="1" w:uiPriority="99" w:name="HTML Typewriter" w:locked="1"/>
    <w:lsdException w:qFormat="1"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75"/>
    <w:qFormat/>
    <w:uiPriority w:val="99"/>
    <w:pPr>
      <w:keepNext/>
      <w:jc w:val="center"/>
      <w:outlineLvl w:val="0"/>
    </w:pPr>
    <w:rPr>
      <w:rFonts w:eastAsia="仿宋_GB2312"/>
      <w:sz w:val="28"/>
      <w:szCs w:val="28"/>
    </w:rPr>
  </w:style>
  <w:style w:type="paragraph" w:styleId="3">
    <w:name w:val="heading 2"/>
    <w:basedOn w:val="1"/>
    <w:next w:val="1"/>
    <w:link w:val="76"/>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217"/>
    <w:qFormat/>
    <w:uiPriority w:val="99"/>
    <w:pPr>
      <w:keepNext/>
      <w:keepLines/>
      <w:spacing w:before="260" w:after="260" w:line="416" w:lineRule="auto"/>
      <w:outlineLvl w:val="2"/>
    </w:pPr>
    <w:rPr>
      <w:b/>
      <w:bCs/>
      <w:sz w:val="32"/>
      <w:szCs w:val="32"/>
    </w:rPr>
  </w:style>
  <w:style w:type="paragraph" w:styleId="5">
    <w:name w:val="heading 4"/>
    <w:basedOn w:val="1"/>
    <w:next w:val="1"/>
    <w:link w:val="78"/>
    <w:qFormat/>
    <w:uiPriority w:val="99"/>
    <w:pPr>
      <w:keepNext/>
      <w:keepLines/>
      <w:adjustRightInd w:val="0"/>
      <w:spacing w:before="280" w:after="290" w:line="376" w:lineRule="atLeast"/>
      <w:textAlignment w:val="baseline"/>
      <w:outlineLvl w:val="3"/>
    </w:pPr>
    <w:rPr>
      <w:rFonts w:ascii="Arial" w:hAnsi="Arial" w:eastAsia="黑体" w:cs="Arial"/>
      <w:b/>
      <w:bCs/>
      <w:sz w:val="28"/>
      <w:szCs w:val="28"/>
    </w:rPr>
  </w:style>
  <w:style w:type="paragraph" w:styleId="6">
    <w:name w:val="heading 5"/>
    <w:basedOn w:val="1"/>
    <w:next w:val="1"/>
    <w:link w:val="79"/>
    <w:qFormat/>
    <w:uiPriority w:val="99"/>
    <w:pPr>
      <w:keepNext/>
      <w:keepLines/>
      <w:adjustRightInd w:val="0"/>
      <w:spacing w:before="280" w:after="290" w:line="376" w:lineRule="atLeast"/>
      <w:textAlignment w:val="baseline"/>
      <w:outlineLvl w:val="4"/>
    </w:pPr>
    <w:rPr>
      <w:b/>
      <w:bCs/>
      <w:kern w:val="0"/>
      <w:sz w:val="28"/>
      <w:szCs w:val="28"/>
    </w:rPr>
  </w:style>
  <w:style w:type="paragraph" w:styleId="7">
    <w:name w:val="heading 6"/>
    <w:basedOn w:val="1"/>
    <w:next w:val="1"/>
    <w:link w:val="80"/>
    <w:qFormat/>
    <w:uiPriority w:val="99"/>
    <w:pPr>
      <w:keepNext/>
      <w:keepLines/>
      <w:adjustRightInd w:val="0"/>
      <w:spacing w:before="240" w:after="64" w:line="320" w:lineRule="atLeast"/>
      <w:textAlignment w:val="baseline"/>
      <w:outlineLvl w:val="5"/>
    </w:pPr>
    <w:rPr>
      <w:rFonts w:ascii="Arial" w:hAnsi="Arial" w:eastAsia="黑体" w:cs="Arial"/>
      <w:b/>
      <w:bCs/>
      <w:kern w:val="0"/>
      <w:sz w:val="24"/>
      <w:szCs w:val="24"/>
    </w:rPr>
  </w:style>
  <w:style w:type="paragraph" w:styleId="8">
    <w:name w:val="heading 7"/>
    <w:basedOn w:val="1"/>
    <w:next w:val="1"/>
    <w:link w:val="81"/>
    <w:qFormat/>
    <w:uiPriority w:val="99"/>
    <w:pPr>
      <w:keepNext/>
      <w:keepLines/>
      <w:spacing w:before="240" w:after="64" w:line="320" w:lineRule="auto"/>
      <w:outlineLvl w:val="6"/>
    </w:pPr>
    <w:rPr>
      <w:b/>
      <w:bCs/>
      <w:sz w:val="24"/>
      <w:szCs w:val="24"/>
    </w:rPr>
  </w:style>
  <w:style w:type="paragraph" w:styleId="9">
    <w:name w:val="heading 8"/>
    <w:basedOn w:val="1"/>
    <w:next w:val="1"/>
    <w:link w:val="82"/>
    <w:qFormat/>
    <w:uiPriority w:val="99"/>
    <w:pPr>
      <w:keepNext/>
      <w:keepLines/>
      <w:adjustRightInd w:val="0"/>
      <w:spacing w:before="240" w:after="64" w:line="320" w:lineRule="atLeast"/>
      <w:textAlignment w:val="baseline"/>
      <w:outlineLvl w:val="7"/>
    </w:pPr>
    <w:rPr>
      <w:rFonts w:ascii="Arial" w:hAnsi="Arial" w:eastAsia="黑体" w:cs="Arial"/>
      <w:kern w:val="0"/>
      <w:sz w:val="24"/>
      <w:szCs w:val="24"/>
    </w:rPr>
  </w:style>
  <w:style w:type="paragraph" w:styleId="10">
    <w:name w:val="heading 9"/>
    <w:basedOn w:val="1"/>
    <w:next w:val="1"/>
    <w:link w:val="83"/>
    <w:qFormat/>
    <w:uiPriority w:val="99"/>
    <w:pPr>
      <w:keepNext/>
      <w:keepLines/>
      <w:adjustRightInd w:val="0"/>
      <w:spacing w:before="240" w:after="64" w:line="320" w:lineRule="atLeast"/>
      <w:textAlignment w:val="baseline"/>
      <w:outlineLvl w:val="8"/>
    </w:pPr>
    <w:rPr>
      <w:rFonts w:ascii="Arial" w:hAnsi="Arial" w:eastAsia="黑体" w:cs="Arial"/>
      <w:kern w:val="0"/>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style>
  <w:style w:type="paragraph" w:styleId="12">
    <w:name w:val="toc 7"/>
    <w:basedOn w:val="1"/>
    <w:next w:val="1"/>
    <w:semiHidden/>
    <w:qFormat/>
    <w:uiPriority w:val="99"/>
    <w:pPr>
      <w:ind w:left="1260"/>
      <w:jc w:val="left"/>
    </w:pPr>
    <w:rPr>
      <w:sz w:val="18"/>
      <w:szCs w:val="18"/>
    </w:rPr>
  </w:style>
  <w:style w:type="paragraph" w:styleId="13">
    <w:name w:val="Note Heading"/>
    <w:basedOn w:val="1"/>
    <w:next w:val="1"/>
    <w:qFormat/>
    <w:locked/>
    <w:uiPriority w:val="0"/>
    <w:rPr>
      <w:rFonts w:ascii="Verdana" w:hAnsi="Verdana"/>
      <w:szCs w:val="20"/>
    </w:rPr>
  </w:style>
  <w:style w:type="paragraph" w:styleId="14">
    <w:name w:val="Normal Indent"/>
    <w:basedOn w:val="1"/>
    <w:link w:val="121"/>
    <w:qFormat/>
    <w:uiPriority w:val="99"/>
    <w:pPr>
      <w:ind w:firstLine="420" w:firstLineChars="200"/>
    </w:pPr>
    <w:rPr>
      <w:kern w:val="0"/>
      <w:sz w:val="24"/>
      <w:szCs w:val="24"/>
    </w:rPr>
  </w:style>
  <w:style w:type="paragraph" w:styleId="15">
    <w:name w:val="caption"/>
    <w:basedOn w:val="1"/>
    <w:next w:val="1"/>
    <w:semiHidden/>
    <w:unhideWhenUsed/>
    <w:qFormat/>
    <w:locked/>
    <w:uiPriority w:val="35"/>
    <w:rPr>
      <w:rFonts w:ascii="Arial" w:hAnsi="Arial" w:eastAsia="黑体"/>
      <w:sz w:val="20"/>
    </w:rPr>
  </w:style>
  <w:style w:type="paragraph" w:styleId="16">
    <w:name w:val="List Bullet"/>
    <w:basedOn w:val="1"/>
    <w:qFormat/>
    <w:uiPriority w:val="99"/>
    <w:pPr>
      <w:numPr>
        <w:ilvl w:val="0"/>
        <w:numId w:val="1"/>
      </w:numPr>
      <w:tabs>
        <w:tab w:val="left" w:pos="360"/>
      </w:tabs>
    </w:pPr>
  </w:style>
  <w:style w:type="paragraph" w:styleId="17">
    <w:name w:val="Document Map"/>
    <w:basedOn w:val="1"/>
    <w:link w:val="84"/>
    <w:semiHidden/>
    <w:qFormat/>
    <w:uiPriority w:val="99"/>
    <w:rPr>
      <w:rFonts w:ascii="宋体" w:cs="宋体"/>
      <w:kern w:val="0"/>
      <w:sz w:val="18"/>
      <w:szCs w:val="18"/>
    </w:rPr>
  </w:style>
  <w:style w:type="paragraph" w:styleId="18">
    <w:name w:val="toa heading"/>
    <w:basedOn w:val="1"/>
    <w:next w:val="1"/>
    <w:semiHidden/>
    <w:qFormat/>
    <w:uiPriority w:val="99"/>
    <w:pPr>
      <w:adjustRightInd w:val="0"/>
      <w:spacing w:before="200" w:line="360" w:lineRule="atLeast"/>
      <w:jc w:val="center"/>
    </w:pPr>
    <w:rPr>
      <w:rFonts w:ascii="Arial" w:hAnsi="Arial" w:eastAsia="黑体" w:cs="Arial"/>
      <w:kern w:val="0"/>
      <w:sz w:val="44"/>
      <w:szCs w:val="44"/>
    </w:rPr>
  </w:style>
  <w:style w:type="paragraph" w:styleId="19">
    <w:name w:val="annotation text"/>
    <w:basedOn w:val="1"/>
    <w:link w:val="85"/>
    <w:semiHidden/>
    <w:qFormat/>
    <w:uiPriority w:val="99"/>
    <w:pPr>
      <w:jc w:val="left"/>
    </w:pPr>
    <w:rPr>
      <w:kern w:val="0"/>
      <w:sz w:val="20"/>
      <w:szCs w:val="20"/>
    </w:rPr>
  </w:style>
  <w:style w:type="paragraph" w:styleId="20">
    <w:name w:val="Body Text"/>
    <w:basedOn w:val="1"/>
    <w:next w:val="21"/>
    <w:link w:val="86"/>
    <w:qFormat/>
    <w:uiPriority w:val="99"/>
    <w:pPr>
      <w:spacing w:after="120"/>
    </w:pPr>
    <w:rPr>
      <w:kern w:val="0"/>
      <w:sz w:val="20"/>
      <w:szCs w:val="20"/>
    </w:rPr>
  </w:style>
  <w:style w:type="paragraph" w:customStyle="1" w:styleId="21">
    <w:name w:val="style4"/>
    <w:basedOn w:val="1"/>
    <w:next w:val="22"/>
    <w:qFormat/>
    <w:uiPriority w:val="0"/>
    <w:pPr>
      <w:widowControl/>
      <w:spacing w:before="280" w:after="280"/>
    </w:pPr>
    <w:rPr>
      <w:rFonts w:ascii="宋体"/>
      <w:sz w:val="18"/>
    </w:rPr>
  </w:style>
  <w:style w:type="paragraph" w:customStyle="1" w:styleId="22">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23">
    <w:name w:val="Body Text Indent"/>
    <w:basedOn w:val="1"/>
    <w:next w:val="24"/>
    <w:link w:val="87"/>
    <w:qFormat/>
    <w:uiPriority w:val="99"/>
    <w:pPr>
      <w:spacing w:after="120"/>
      <w:ind w:left="420" w:leftChars="200"/>
    </w:pPr>
    <w:rPr>
      <w:kern w:val="0"/>
      <w:sz w:val="20"/>
      <w:szCs w:val="20"/>
    </w:rPr>
  </w:style>
  <w:style w:type="paragraph" w:styleId="24">
    <w:name w:val="envelope return"/>
    <w:basedOn w:val="1"/>
    <w:unhideWhenUsed/>
    <w:qFormat/>
    <w:locked/>
    <w:uiPriority w:val="99"/>
    <w:pPr>
      <w:snapToGrid w:val="0"/>
    </w:pPr>
    <w:rPr>
      <w:rFonts w:ascii="Arial" w:hAnsi="Arial"/>
    </w:rPr>
  </w:style>
  <w:style w:type="paragraph" w:styleId="25">
    <w:name w:val="List 2"/>
    <w:basedOn w:val="1"/>
    <w:qFormat/>
    <w:uiPriority w:val="99"/>
    <w:pPr>
      <w:ind w:left="100" w:leftChars="200" w:hanging="200" w:hangingChars="200"/>
    </w:pPr>
  </w:style>
  <w:style w:type="paragraph" w:styleId="26">
    <w:name w:val="List Continue"/>
    <w:basedOn w:val="1"/>
    <w:qFormat/>
    <w:uiPriority w:val="99"/>
    <w:pPr>
      <w:spacing w:after="120"/>
      <w:ind w:left="420" w:leftChars="200"/>
    </w:pPr>
  </w:style>
  <w:style w:type="paragraph" w:styleId="27">
    <w:name w:val="Block Text"/>
    <w:basedOn w:val="1"/>
    <w:qFormat/>
    <w:uiPriority w:val="99"/>
    <w:pPr>
      <w:autoSpaceDE w:val="0"/>
      <w:autoSpaceDN w:val="0"/>
      <w:adjustRightInd w:val="0"/>
      <w:spacing w:line="300" w:lineRule="auto"/>
      <w:ind w:left="29" w:leftChars="12" w:right="6" w:firstLine="560" w:firstLineChars="200"/>
    </w:pPr>
    <w:rPr>
      <w:kern w:val="0"/>
      <w:sz w:val="28"/>
      <w:szCs w:val="28"/>
    </w:rPr>
  </w:style>
  <w:style w:type="paragraph" w:styleId="28">
    <w:name w:val="toc 5"/>
    <w:basedOn w:val="1"/>
    <w:next w:val="1"/>
    <w:semiHidden/>
    <w:qFormat/>
    <w:uiPriority w:val="99"/>
    <w:pPr>
      <w:ind w:left="840"/>
      <w:jc w:val="left"/>
    </w:pPr>
    <w:rPr>
      <w:sz w:val="18"/>
      <w:szCs w:val="18"/>
    </w:rPr>
  </w:style>
  <w:style w:type="paragraph" w:styleId="29">
    <w:name w:val="toc 3"/>
    <w:basedOn w:val="1"/>
    <w:next w:val="1"/>
    <w:semiHidden/>
    <w:qFormat/>
    <w:uiPriority w:val="99"/>
    <w:pPr>
      <w:widowControl/>
      <w:tabs>
        <w:tab w:val="left" w:pos="1050"/>
        <w:tab w:val="right" w:leader="dot" w:pos="9402"/>
      </w:tabs>
      <w:spacing w:after="100" w:line="520" w:lineRule="exact"/>
      <w:jc w:val="center"/>
      <w:outlineLvl w:val="0"/>
    </w:pPr>
    <w:rPr>
      <w:rFonts w:ascii="宋体" w:hAnsi="宋体" w:cs="宋体"/>
      <w:b/>
      <w:bCs/>
      <w:color w:val="FF0000"/>
      <w:w w:val="80"/>
      <w:kern w:val="0"/>
      <w:sz w:val="44"/>
      <w:szCs w:val="44"/>
    </w:rPr>
  </w:style>
  <w:style w:type="paragraph" w:styleId="30">
    <w:name w:val="Plain Text"/>
    <w:basedOn w:val="1"/>
    <w:link w:val="88"/>
    <w:qFormat/>
    <w:uiPriority w:val="99"/>
    <w:rPr>
      <w:rFonts w:ascii="宋体" w:hAnsi="Courier New" w:cs="宋体"/>
      <w:kern w:val="0"/>
      <w:sz w:val="20"/>
      <w:szCs w:val="20"/>
    </w:rPr>
  </w:style>
  <w:style w:type="paragraph" w:styleId="31">
    <w:name w:val="toc 8"/>
    <w:basedOn w:val="1"/>
    <w:next w:val="1"/>
    <w:semiHidden/>
    <w:qFormat/>
    <w:uiPriority w:val="99"/>
    <w:pPr>
      <w:ind w:left="1470"/>
      <w:jc w:val="left"/>
    </w:pPr>
    <w:rPr>
      <w:sz w:val="18"/>
      <w:szCs w:val="18"/>
    </w:rPr>
  </w:style>
  <w:style w:type="paragraph" w:styleId="32">
    <w:name w:val="Date"/>
    <w:basedOn w:val="1"/>
    <w:next w:val="1"/>
    <w:link w:val="89"/>
    <w:qFormat/>
    <w:uiPriority w:val="99"/>
    <w:pPr>
      <w:widowControl/>
      <w:ind w:left="100"/>
      <w:jc w:val="left"/>
    </w:pPr>
    <w:rPr>
      <w:rFonts w:ascii="宋体" w:hAnsi="宋体" w:cs="宋体"/>
      <w:kern w:val="0"/>
      <w:sz w:val="28"/>
      <w:szCs w:val="28"/>
    </w:rPr>
  </w:style>
  <w:style w:type="paragraph" w:styleId="33">
    <w:name w:val="Body Text Indent 2"/>
    <w:basedOn w:val="1"/>
    <w:link w:val="90"/>
    <w:qFormat/>
    <w:uiPriority w:val="99"/>
    <w:pPr>
      <w:spacing w:after="120" w:line="480" w:lineRule="auto"/>
      <w:ind w:left="420" w:leftChars="200"/>
    </w:pPr>
    <w:rPr>
      <w:rFonts w:ascii="Calibri" w:hAnsi="Calibri" w:cs="Calibri"/>
    </w:rPr>
  </w:style>
  <w:style w:type="paragraph" w:styleId="34">
    <w:name w:val="List Continue 5"/>
    <w:basedOn w:val="1"/>
    <w:qFormat/>
    <w:uiPriority w:val="99"/>
    <w:pPr>
      <w:spacing w:after="120"/>
      <w:ind w:left="2100" w:leftChars="1000"/>
    </w:pPr>
  </w:style>
  <w:style w:type="paragraph" w:styleId="35">
    <w:name w:val="Balloon Text"/>
    <w:basedOn w:val="1"/>
    <w:link w:val="91"/>
    <w:semiHidden/>
    <w:qFormat/>
    <w:uiPriority w:val="99"/>
    <w:rPr>
      <w:kern w:val="0"/>
      <w:sz w:val="18"/>
      <w:szCs w:val="18"/>
    </w:rPr>
  </w:style>
  <w:style w:type="paragraph" w:styleId="36">
    <w:name w:val="footer"/>
    <w:basedOn w:val="1"/>
    <w:link w:val="92"/>
    <w:qFormat/>
    <w:uiPriority w:val="99"/>
    <w:pPr>
      <w:tabs>
        <w:tab w:val="center" w:pos="4153"/>
        <w:tab w:val="right" w:pos="8306"/>
      </w:tabs>
      <w:snapToGrid w:val="0"/>
      <w:jc w:val="left"/>
    </w:pPr>
    <w:rPr>
      <w:sz w:val="18"/>
      <w:szCs w:val="18"/>
    </w:rPr>
  </w:style>
  <w:style w:type="paragraph" w:styleId="37">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8">
    <w:name w:val="toc 1"/>
    <w:basedOn w:val="1"/>
    <w:next w:val="1"/>
    <w:semiHidden/>
    <w:qFormat/>
    <w:uiPriority w:val="99"/>
    <w:pPr>
      <w:widowControl/>
      <w:tabs>
        <w:tab w:val="right" w:leader="hyphen" w:pos="9736"/>
      </w:tabs>
      <w:spacing w:after="100" w:line="276" w:lineRule="auto"/>
      <w:jc w:val="center"/>
    </w:pPr>
    <w:rPr>
      <w:rFonts w:ascii="Calibri" w:hAnsi="Calibri" w:cs="Calibri"/>
      <w:kern w:val="0"/>
      <w:sz w:val="22"/>
      <w:szCs w:val="22"/>
    </w:rPr>
  </w:style>
  <w:style w:type="paragraph" w:styleId="39">
    <w:name w:val="List Continue 4"/>
    <w:basedOn w:val="1"/>
    <w:qFormat/>
    <w:uiPriority w:val="99"/>
    <w:pPr>
      <w:spacing w:after="120"/>
      <w:ind w:left="1680" w:leftChars="800"/>
    </w:pPr>
  </w:style>
  <w:style w:type="paragraph" w:styleId="40">
    <w:name w:val="toc 4"/>
    <w:basedOn w:val="1"/>
    <w:next w:val="1"/>
    <w:semiHidden/>
    <w:qFormat/>
    <w:uiPriority w:val="99"/>
    <w:pPr>
      <w:tabs>
        <w:tab w:val="left" w:pos="1080"/>
        <w:tab w:val="right" w:leader="dot" w:pos="9125"/>
      </w:tabs>
      <w:adjustRightInd w:val="0"/>
      <w:snapToGrid w:val="0"/>
      <w:spacing w:line="360" w:lineRule="auto"/>
      <w:jc w:val="left"/>
    </w:pPr>
    <w:rPr>
      <w:sz w:val="18"/>
      <w:szCs w:val="18"/>
    </w:rPr>
  </w:style>
  <w:style w:type="paragraph" w:styleId="41">
    <w:name w:val="List"/>
    <w:basedOn w:val="1"/>
    <w:qFormat/>
    <w:uiPriority w:val="99"/>
    <w:pPr>
      <w:ind w:left="200" w:hanging="200" w:hangingChars="200"/>
    </w:pPr>
  </w:style>
  <w:style w:type="paragraph" w:styleId="42">
    <w:name w:val="footnote text"/>
    <w:basedOn w:val="1"/>
    <w:link w:val="94"/>
    <w:semiHidden/>
    <w:qFormat/>
    <w:uiPriority w:val="99"/>
    <w:pPr>
      <w:snapToGrid w:val="0"/>
      <w:jc w:val="left"/>
    </w:pPr>
    <w:rPr>
      <w:rFonts w:ascii="Calibri" w:hAnsi="Calibri" w:cs="Calibri"/>
      <w:kern w:val="0"/>
      <w:sz w:val="18"/>
      <w:szCs w:val="18"/>
    </w:rPr>
  </w:style>
  <w:style w:type="paragraph" w:styleId="43">
    <w:name w:val="toc 6"/>
    <w:basedOn w:val="1"/>
    <w:next w:val="1"/>
    <w:semiHidden/>
    <w:qFormat/>
    <w:uiPriority w:val="99"/>
    <w:pPr>
      <w:ind w:left="1050"/>
      <w:jc w:val="left"/>
    </w:pPr>
    <w:rPr>
      <w:sz w:val="18"/>
      <w:szCs w:val="18"/>
    </w:rPr>
  </w:style>
  <w:style w:type="paragraph" w:styleId="44">
    <w:name w:val="List 5"/>
    <w:basedOn w:val="1"/>
    <w:qFormat/>
    <w:uiPriority w:val="99"/>
    <w:pPr>
      <w:ind w:left="100" w:leftChars="800" w:hanging="200" w:hangingChars="200"/>
    </w:pPr>
  </w:style>
  <w:style w:type="paragraph" w:styleId="45">
    <w:name w:val="Body Text Indent 3"/>
    <w:basedOn w:val="1"/>
    <w:link w:val="95"/>
    <w:qFormat/>
    <w:uiPriority w:val="99"/>
    <w:pPr>
      <w:ind w:firstLine="435"/>
    </w:pPr>
    <w:rPr>
      <w:rFonts w:ascii="仿宋_GB2312" w:hAnsi="宋体" w:eastAsia="仿宋_GB2312" w:cs="仿宋_GB2312"/>
      <w:sz w:val="28"/>
      <w:szCs w:val="28"/>
    </w:rPr>
  </w:style>
  <w:style w:type="paragraph" w:styleId="46">
    <w:name w:val="toc 2"/>
    <w:basedOn w:val="1"/>
    <w:next w:val="1"/>
    <w:semiHidden/>
    <w:qFormat/>
    <w:uiPriority w:val="99"/>
    <w:pPr>
      <w:widowControl/>
      <w:spacing w:after="100" w:line="276" w:lineRule="auto"/>
      <w:ind w:left="220"/>
      <w:jc w:val="left"/>
    </w:pPr>
    <w:rPr>
      <w:rFonts w:ascii="Calibri" w:hAnsi="Calibri" w:cs="Calibri"/>
      <w:kern w:val="0"/>
      <w:sz w:val="22"/>
      <w:szCs w:val="22"/>
    </w:rPr>
  </w:style>
  <w:style w:type="paragraph" w:styleId="47">
    <w:name w:val="toc 9"/>
    <w:basedOn w:val="1"/>
    <w:next w:val="1"/>
    <w:semiHidden/>
    <w:qFormat/>
    <w:uiPriority w:val="99"/>
    <w:pPr>
      <w:ind w:left="1680"/>
      <w:jc w:val="left"/>
    </w:pPr>
    <w:rPr>
      <w:sz w:val="18"/>
      <w:szCs w:val="18"/>
    </w:rPr>
  </w:style>
  <w:style w:type="paragraph" w:styleId="48">
    <w:name w:val="Body Text 2"/>
    <w:basedOn w:val="1"/>
    <w:link w:val="96"/>
    <w:qFormat/>
    <w:uiPriority w:val="99"/>
    <w:rPr>
      <w:rFonts w:ascii="宋体" w:hAnsi="宋体" w:cs="宋体"/>
      <w:kern w:val="0"/>
      <w:sz w:val="24"/>
      <w:szCs w:val="24"/>
    </w:rPr>
  </w:style>
  <w:style w:type="paragraph" w:styleId="49">
    <w:name w:val="List 4"/>
    <w:basedOn w:val="1"/>
    <w:qFormat/>
    <w:uiPriority w:val="99"/>
    <w:pPr>
      <w:ind w:left="100" w:leftChars="600" w:hanging="200" w:hangingChars="200"/>
    </w:pPr>
  </w:style>
  <w:style w:type="paragraph" w:styleId="50">
    <w:name w:val="List Continue 2"/>
    <w:basedOn w:val="1"/>
    <w:qFormat/>
    <w:uiPriority w:val="99"/>
    <w:pPr>
      <w:spacing w:after="120"/>
      <w:ind w:left="840" w:leftChars="400"/>
    </w:pPr>
  </w:style>
  <w:style w:type="paragraph" w:styleId="51">
    <w:name w:val="HTML Preformatted"/>
    <w:basedOn w:val="1"/>
    <w:link w:val="97"/>
    <w:qFormat/>
    <w:uiPriority w:val="99"/>
    <w:rPr>
      <w:rFonts w:ascii="Courier New" w:hAnsi="Courier New" w:cs="Courier New"/>
      <w:kern w:val="0"/>
      <w:sz w:val="20"/>
      <w:szCs w:val="20"/>
    </w:rPr>
  </w:style>
  <w:style w:type="paragraph" w:styleId="5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3">
    <w:name w:val="List Continue 3"/>
    <w:basedOn w:val="1"/>
    <w:qFormat/>
    <w:uiPriority w:val="99"/>
    <w:pPr>
      <w:spacing w:after="120"/>
      <w:ind w:left="1260" w:leftChars="600"/>
    </w:pPr>
  </w:style>
  <w:style w:type="paragraph" w:styleId="54">
    <w:name w:val="annotation subject"/>
    <w:basedOn w:val="19"/>
    <w:next w:val="19"/>
    <w:link w:val="98"/>
    <w:semiHidden/>
    <w:qFormat/>
    <w:uiPriority w:val="99"/>
    <w:rPr>
      <w:b/>
      <w:bCs/>
    </w:rPr>
  </w:style>
  <w:style w:type="paragraph" w:styleId="55">
    <w:name w:val="Body Text First Indent"/>
    <w:basedOn w:val="20"/>
    <w:link w:val="99"/>
    <w:qFormat/>
    <w:uiPriority w:val="99"/>
    <w:pPr>
      <w:spacing w:line="360" w:lineRule="auto"/>
      <w:ind w:firstLine="482"/>
    </w:pPr>
    <w:rPr>
      <w:b/>
      <w:bCs/>
      <w:sz w:val="24"/>
      <w:szCs w:val="24"/>
    </w:rPr>
  </w:style>
  <w:style w:type="paragraph" w:styleId="56">
    <w:name w:val="Body Text First Indent 2"/>
    <w:basedOn w:val="23"/>
    <w:next w:val="1"/>
    <w:link w:val="100"/>
    <w:qFormat/>
    <w:uiPriority w:val="99"/>
    <w:pPr>
      <w:ind w:firstLine="420" w:firstLineChars="200"/>
    </w:pPr>
  </w:style>
  <w:style w:type="table" w:styleId="58">
    <w:name w:val="Table Grid"/>
    <w:basedOn w:val="5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basedOn w:val="59"/>
    <w:qFormat/>
    <w:uiPriority w:val="99"/>
    <w:rPr>
      <w:b/>
      <w:bCs/>
    </w:rPr>
  </w:style>
  <w:style w:type="character" w:styleId="61">
    <w:name w:val="page number"/>
    <w:basedOn w:val="59"/>
    <w:qFormat/>
    <w:uiPriority w:val="99"/>
  </w:style>
  <w:style w:type="character" w:styleId="62">
    <w:name w:val="FollowedHyperlink"/>
    <w:basedOn w:val="59"/>
    <w:semiHidden/>
    <w:qFormat/>
    <w:uiPriority w:val="99"/>
    <w:rPr>
      <w:color w:val="800080"/>
      <w:u w:val="single"/>
    </w:rPr>
  </w:style>
  <w:style w:type="character" w:styleId="63">
    <w:name w:val="Emphasis"/>
    <w:basedOn w:val="59"/>
    <w:qFormat/>
    <w:uiPriority w:val="99"/>
    <w:rPr>
      <w:color w:val="auto"/>
    </w:rPr>
  </w:style>
  <w:style w:type="character" w:styleId="64">
    <w:name w:val="HTML Definition"/>
    <w:basedOn w:val="59"/>
    <w:semiHidden/>
    <w:unhideWhenUsed/>
    <w:qFormat/>
    <w:locked/>
    <w:uiPriority w:val="99"/>
  </w:style>
  <w:style w:type="character" w:styleId="65">
    <w:name w:val="HTML Typewriter"/>
    <w:basedOn w:val="59"/>
    <w:semiHidden/>
    <w:unhideWhenUsed/>
    <w:qFormat/>
    <w:locked/>
    <w:uiPriority w:val="99"/>
    <w:rPr>
      <w:rFonts w:hint="default" w:ascii="monospace" w:hAnsi="monospace" w:eastAsia="monospace" w:cs="monospace"/>
      <w:sz w:val="20"/>
    </w:rPr>
  </w:style>
  <w:style w:type="character" w:styleId="66">
    <w:name w:val="HTML Acronym"/>
    <w:basedOn w:val="59"/>
    <w:semiHidden/>
    <w:unhideWhenUsed/>
    <w:qFormat/>
    <w:locked/>
    <w:uiPriority w:val="99"/>
  </w:style>
  <w:style w:type="character" w:styleId="67">
    <w:name w:val="HTML Variable"/>
    <w:basedOn w:val="59"/>
    <w:semiHidden/>
    <w:unhideWhenUsed/>
    <w:qFormat/>
    <w:locked/>
    <w:uiPriority w:val="99"/>
  </w:style>
  <w:style w:type="character" w:styleId="68">
    <w:name w:val="Hyperlink"/>
    <w:basedOn w:val="59"/>
    <w:qFormat/>
    <w:uiPriority w:val="99"/>
    <w:rPr>
      <w:color w:val="auto"/>
      <w:u w:val="none"/>
    </w:rPr>
  </w:style>
  <w:style w:type="character" w:styleId="69">
    <w:name w:val="HTML Code"/>
    <w:basedOn w:val="59"/>
    <w:semiHidden/>
    <w:unhideWhenUsed/>
    <w:qFormat/>
    <w:locked/>
    <w:uiPriority w:val="99"/>
    <w:rPr>
      <w:rFonts w:ascii="monospace" w:hAnsi="monospace" w:eastAsia="monospace" w:cs="monospace"/>
      <w:sz w:val="20"/>
    </w:rPr>
  </w:style>
  <w:style w:type="character" w:styleId="70">
    <w:name w:val="annotation reference"/>
    <w:basedOn w:val="59"/>
    <w:semiHidden/>
    <w:qFormat/>
    <w:uiPriority w:val="99"/>
    <w:rPr>
      <w:sz w:val="21"/>
      <w:szCs w:val="21"/>
    </w:rPr>
  </w:style>
  <w:style w:type="character" w:styleId="71">
    <w:name w:val="HTML Cite"/>
    <w:basedOn w:val="59"/>
    <w:semiHidden/>
    <w:unhideWhenUsed/>
    <w:qFormat/>
    <w:locked/>
    <w:uiPriority w:val="99"/>
  </w:style>
  <w:style w:type="character" w:styleId="72">
    <w:name w:val="footnote reference"/>
    <w:basedOn w:val="59"/>
    <w:semiHidden/>
    <w:qFormat/>
    <w:uiPriority w:val="99"/>
    <w:rPr>
      <w:vertAlign w:val="superscript"/>
    </w:rPr>
  </w:style>
  <w:style w:type="character" w:styleId="73">
    <w:name w:val="HTML Keyboard"/>
    <w:basedOn w:val="59"/>
    <w:semiHidden/>
    <w:unhideWhenUsed/>
    <w:qFormat/>
    <w:locked/>
    <w:uiPriority w:val="99"/>
    <w:rPr>
      <w:rFonts w:hint="default" w:ascii="monospace" w:hAnsi="monospace" w:eastAsia="monospace" w:cs="monospace"/>
      <w:sz w:val="20"/>
    </w:rPr>
  </w:style>
  <w:style w:type="character" w:styleId="74">
    <w:name w:val="HTML Sample"/>
    <w:basedOn w:val="59"/>
    <w:semiHidden/>
    <w:unhideWhenUsed/>
    <w:qFormat/>
    <w:locked/>
    <w:uiPriority w:val="99"/>
    <w:rPr>
      <w:rFonts w:hint="default" w:ascii="monospace" w:hAnsi="monospace" w:eastAsia="monospace" w:cs="monospace"/>
    </w:rPr>
  </w:style>
  <w:style w:type="character" w:customStyle="1" w:styleId="75">
    <w:name w:val="标题 1 字符"/>
    <w:basedOn w:val="59"/>
    <w:link w:val="2"/>
    <w:qFormat/>
    <w:locked/>
    <w:uiPriority w:val="99"/>
    <w:rPr>
      <w:rFonts w:ascii="Times New Roman" w:hAnsi="Times New Roman" w:eastAsia="仿宋_GB2312" w:cs="Times New Roman"/>
      <w:sz w:val="24"/>
      <w:szCs w:val="24"/>
    </w:rPr>
  </w:style>
  <w:style w:type="character" w:customStyle="1" w:styleId="76">
    <w:name w:val="标题 2 字符"/>
    <w:basedOn w:val="59"/>
    <w:link w:val="3"/>
    <w:qFormat/>
    <w:locked/>
    <w:uiPriority w:val="99"/>
    <w:rPr>
      <w:rFonts w:ascii="Cambria" w:hAnsi="Cambria" w:eastAsia="宋体" w:cs="Cambria"/>
      <w:b/>
      <w:bCs/>
      <w:sz w:val="32"/>
      <w:szCs w:val="32"/>
    </w:rPr>
  </w:style>
  <w:style w:type="character" w:customStyle="1" w:styleId="77">
    <w:name w:val="标题 3 字符"/>
    <w:basedOn w:val="59"/>
    <w:link w:val="4"/>
    <w:qFormat/>
    <w:locked/>
    <w:uiPriority w:val="99"/>
    <w:rPr>
      <w:rFonts w:ascii="Times New Roman" w:hAnsi="Times New Roman" w:eastAsia="宋体" w:cs="Times New Roman"/>
      <w:b/>
      <w:bCs/>
      <w:sz w:val="32"/>
      <w:szCs w:val="32"/>
    </w:rPr>
  </w:style>
  <w:style w:type="character" w:customStyle="1" w:styleId="78">
    <w:name w:val="标题 4 字符"/>
    <w:basedOn w:val="59"/>
    <w:link w:val="5"/>
    <w:qFormat/>
    <w:locked/>
    <w:uiPriority w:val="99"/>
    <w:rPr>
      <w:rFonts w:ascii="Arial" w:hAnsi="Arial" w:eastAsia="黑体" w:cs="Arial"/>
      <w:b/>
      <w:bCs/>
      <w:sz w:val="20"/>
      <w:szCs w:val="20"/>
    </w:rPr>
  </w:style>
  <w:style w:type="character" w:customStyle="1" w:styleId="79">
    <w:name w:val="标题 5 字符"/>
    <w:basedOn w:val="59"/>
    <w:link w:val="6"/>
    <w:qFormat/>
    <w:locked/>
    <w:uiPriority w:val="99"/>
    <w:rPr>
      <w:rFonts w:ascii="Times New Roman" w:hAnsi="Times New Roman" w:eastAsia="宋体" w:cs="Times New Roman"/>
      <w:b/>
      <w:bCs/>
      <w:kern w:val="0"/>
      <w:sz w:val="20"/>
      <w:szCs w:val="20"/>
    </w:rPr>
  </w:style>
  <w:style w:type="character" w:customStyle="1" w:styleId="80">
    <w:name w:val="标题 6 字符"/>
    <w:basedOn w:val="59"/>
    <w:link w:val="7"/>
    <w:qFormat/>
    <w:locked/>
    <w:uiPriority w:val="99"/>
    <w:rPr>
      <w:rFonts w:ascii="Arial" w:hAnsi="Arial" w:eastAsia="黑体" w:cs="Arial"/>
      <w:b/>
      <w:bCs/>
      <w:kern w:val="0"/>
      <w:sz w:val="20"/>
      <w:szCs w:val="20"/>
    </w:rPr>
  </w:style>
  <w:style w:type="character" w:customStyle="1" w:styleId="81">
    <w:name w:val="标题 7 字符"/>
    <w:basedOn w:val="59"/>
    <w:link w:val="8"/>
    <w:qFormat/>
    <w:locked/>
    <w:uiPriority w:val="99"/>
    <w:rPr>
      <w:rFonts w:ascii="Times New Roman" w:hAnsi="Times New Roman" w:eastAsia="宋体" w:cs="Times New Roman"/>
      <w:b/>
      <w:bCs/>
      <w:sz w:val="24"/>
      <w:szCs w:val="24"/>
    </w:rPr>
  </w:style>
  <w:style w:type="character" w:customStyle="1" w:styleId="82">
    <w:name w:val="标题 8 字符"/>
    <w:basedOn w:val="59"/>
    <w:link w:val="9"/>
    <w:qFormat/>
    <w:locked/>
    <w:uiPriority w:val="99"/>
    <w:rPr>
      <w:rFonts w:ascii="Arial" w:hAnsi="Arial" w:eastAsia="黑体" w:cs="Arial"/>
      <w:kern w:val="0"/>
      <w:sz w:val="20"/>
      <w:szCs w:val="20"/>
    </w:rPr>
  </w:style>
  <w:style w:type="character" w:customStyle="1" w:styleId="83">
    <w:name w:val="标题 9 字符"/>
    <w:basedOn w:val="59"/>
    <w:link w:val="10"/>
    <w:qFormat/>
    <w:locked/>
    <w:uiPriority w:val="99"/>
    <w:rPr>
      <w:rFonts w:ascii="Arial" w:hAnsi="Arial" w:eastAsia="黑体" w:cs="Arial"/>
      <w:kern w:val="0"/>
      <w:sz w:val="20"/>
      <w:szCs w:val="20"/>
    </w:rPr>
  </w:style>
  <w:style w:type="character" w:customStyle="1" w:styleId="84">
    <w:name w:val="文档结构图 字符"/>
    <w:basedOn w:val="59"/>
    <w:link w:val="17"/>
    <w:semiHidden/>
    <w:qFormat/>
    <w:locked/>
    <w:uiPriority w:val="99"/>
    <w:rPr>
      <w:rFonts w:ascii="宋体" w:hAnsi="Times New Roman" w:eastAsia="宋体" w:cs="宋体"/>
      <w:sz w:val="18"/>
      <w:szCs w:val="18"/>
    </w:rPr>
  </w:style>
  <w:style w:type="character" w:customStyle="1" w:styleId="85">
    <w:name w:val="批注文字 字符"/>
    <w:basedOn w:val="59"/>
    <w:link w:val="19"/>
    <w:semiHidden/>
    <w:qFormat/>
    <w:locked/>
    <w:uiPriority w:val="99"/>
    <w:rPr>
      <w:rFonts w:ascii="Times New Roman" w:hAnsi="Times New Roman" w:eastAsia="宋体" w:cs="Times New Roman"/>
      <w:sz w:val="24"/>
      <w:szCs w:val="24"/>
    </w:rPr>
  </w:style>
  <w:style w:type="character" w:customStyle="1" w:styleId="86">
    <w:name w:val="正文文本 字符"/>
    <w:basedOn w:val="59"/>
    <w:link w:val="20"/>
    <w:semiHidden/>
    <w:qFormat/>
    <w:locked/>
    <w:uiPriority w:val="99"/>
    <w:rPr>
      <w:rFonts w:ascii="Times New Roman" w:hAnsi="Times New Roman" w:eastAsia="宋体" w:cs="Times New Roman"/>
      <w:sz w:val="24"/>
      <w:szCs w:val="24"/>
    </w:rPr>
  </w:style>
  <w:style w:type="character" w:customStyle="1" w:styleId="87">
    <w:name w:val="正文文本缩进 字符"/>
    <w:basedOn w:val="59"/>
    <w:link w:val="23"/>
    <w:semiHidden/>
    <w:qFormat/>
    <w:locked/>
    <w:uiPriority w:val="99"/>
    <w:rPr>
      <w:rFonts w:ascii="Times New Roman" w:hAnsi="Times New Roman" w:eastAsia="宋体" w:cs="Times New Roman"/>
      <w:sz w:val="24"/>
      <w:szCs w:val="24"/>
    </w:rPr>
  </w:style>
  <w:style w:type="character" w:customStyle="1" w:styleId="88">
    <w:name w:val="纯文本 字符"/>
    <w:basedOn w:val="59"/>
    <w:link w:val="30"/>
    <w:semiHidden/>
    <w:qFormat/>
    <w:locked/>
    <w:uiPriority w:val="99"/>
    <w:rPr>
      <w:rFonts w:ascii="宋体" w:hAnsi="Courier New" w:eastAsia="宋体" w:cs="宋体"/>
      <w:sz w:val="21"/>
      <w:szCs w:val="21"/>
    </w:rPr>
  </w:style>
  <w:style w:type="character" w:customStyle="1" w:styleId="89">
    <w:name w:val="日期 字符"/>
    <w:basedOn w:val="59"/>
    <w:link w:val="32"/>
    <w:semiHidden/>
    <w:qFormat/>
    <w:locked/>
    <w:uiPriority w:val="99"/>
    <w:rPr>
      <w:rFonts w:ascii="Times New Roman" w:hAnsi="Times New Roman" w:eastAsia="宋体" w:cs="Times New Roman"/>
      <w:sz w:val="24"/>
      <w:szCs w:val="24"/>
    </w:rPr>
  </w:style>
  <w:style w:type="character" w:customStyle="1" w:styleId="90">
    <w:name w:val="正文文本缩进 2 字符"/>
    <w:basedOn w:val="59"/>
    <w:link w:val="33"/>
    <w:semiHidden/>
    <w:qFormat/>
    <w:locked/>
    <w:uiPriority w:val="99"/>
    <w:rPr>
      <w:rFonts w:ascii="Times New Roman" w:hAnsi="Times New Roman" w:eastAsia="宋体" w:cs="Times New Roman"/>
      <w:sz w:val="24"/>
      <w:szCs w:val="24"/>
    </w:rPr>
  </w:style>
  <w:style w:type="character" w:customStyle="1" w:styleId="91">
    <w:name w:val="批注框文本 字符"/>
    <w:basedOn w:val="59"/>
    <w:link w:val="35"/>
    <w:semiHidden/>
    <w:qFormat/>
    <w:locked/>
    <w:uiPriority w:val="99"/>
    <w:rPr>
      <w:rFonts w:ascii="Times New Roman" w:hAnsi="Times New Roman" w:eastAsia="宋体" w:cs="Times New Roman"/>
      <w:sz w:val="18"/>
      <w:szCs w:val="18"/>
    </w:rPr>
  </w:style>
  <w:style w:type="character" w:customStyle="1" w:styleId="92">
    <w:name w:val="页脚 字符"/>
    <w:basedOn w:val="59"/>
    <w:link w:val="36"/>
    <w:qFormat/>
    <w:locked/>
    <w:uiPriority w:val="99"/>
    <w:rPr>
      <w:sz w:val="18"/>
      <w:szCs w:val="18"/>
    </w:rPr>
  </w:style>
  <w:style w:type="character" w:customStyle="1" w:styleId="93">
    <w:name w:val="页眉 字符"/>
    <w:basedOn w:val="59"/>
    <w:link w:val="37"/>
    <w:qFormat/>
    <w:locked/>
    <w:uiPriority w:val="99"/>
    <w:rPr>
      <w:sz w:val="18"/>
      <w:szCs w:val="18"/>
    </w:rPr>
  </w:style>
  <w:style w:type="character" w:customStyle="1" w:styleId="94">
    <w:name w:val="脚注文本 字符"/>
    <w:basedOn w:val="59"/>
    <w:link w:val="42"/>
    <w:semiHidden/>
    <w:qFormat/>
    <w:locked/>
    <w:uiPriority w:val="99"/>
    <w:rPr>
      <w:rFonts w:ascii="Times New Roman" w:hAnsi="Times New Roman" w:eastAsia="宋体" w:cs="Times New Roman"/>
      <w:sz w:val="18"/>
      <w:szCs w:val="18"/>
    </w:rPr>
  </w:style>
  <w:style w:type="character" w:customStyle="1" w:styleId="95">
    <w:name w:val="正文文本缩进 3 字符"/>
    <w:basedOn w:val="59"/>
    <w:link w:val="45"/>
    <w:qFormat/>
    <w:locked/>
    <w:uiPriority w:val="99"/>
    <w:rPr>
      <w:rFonts w:ascii="仿宋_GB2312" w:hAnsi="宋体" w:eastAsia="仿宋_GB2312" w:cs="仿宋_GB2312"/>
      <w:sz w:val="24"/>
      <w:szCs w:val="24"/>
    </w:rPr>
  </w:style>
  <w:style w:type="character" w:customStyle="1" w:styleId="96">
    <w:name w:val="正文文本 2 字符"/>
    <w:basedOn w:val="59"/>
    <w:link w:val="48"/>
    <w:semiHidden/>
    <w:qFormat/>
    <w:locked/>
    <w:uiPriority w:val="99"/>
    <w:rPr>
      <w:rFonts w:ascii="Times New Roman" w:hAnsi="Times New Roman" w:eastAsia="宋体" w:cs="Times New Roman"/>
      <w:sz w:val="24"/>
      <w:szCs w:val="24"/>
    </w:rPr>
  </w:style>
  <w:style w:type="character" w:customStyle="1" w:styleId="97">
    <w:name w:val="HTML 预设格式 字符"/>
    <w:basedOn w:val="59"/>
    <w:link w:val="51"/>
    <w:semiHidden/>
    <w:qFormat/>
    <w:locked/>
    <w:uiPriority w:val="99"/>
    <w:rPr>
      <w:rFonts w:ascii="Courier New" w:hAnsi="Courier New" w:eastAsia="宋体" w:cs="Courier New"/>
      <w:sz w:val="20"/>
      <w:szCs w:val="20"/>
    </w:rPr>
  </w:style>
  <w:style w:type="character" w:customStyle="1" w:styleId="98">
    <w:name w:val="批注主题 字符"/>
    <w:basedOn w:val="85"/>
    <w:link w:val="54"/>
    <w:semiHidden/>
    <w:qFormat/>
    <w:locked/>
    <w:uiPriority w:val="99"/>
    <w:rPr>
      <w:rFonts w:ascii="Times New Roman" w:hAnsi="Times New Roman" w:eastAsia="宋体" w:cs="Times New Roman"/>
      <w:b/>
      <w:bCs/>
      <w:sz w:val="24"/>
      <w:szCs w:val="24"/>
    </w:rPr>
  </w:style>
  <w:style w:type="character" w:customStyle="1" w:styleId="99">
    <w:name w:val="正文首行缩进 字符"/>
    <w:basedOn w:val="86"/>
    <w:link w:val="55"/>
    <w:semiHidden/>
    <w:qFormat/>
    <w:locked/>
    <w:uiPriority w:val="99"/>
    <w:rPr>
      <w:rFonts w:ascii="Times New Roman" w:hAnsi="Times New Roman" w:eastAsia="宋体" w:cs="Times New Roman"/>
      <w:sz w:val="24"/>
      <w:szCs w:val="24"/>
    </w:rPr>
  </w:style>
  <w:style w:type="character" w:customStyle="1" w:styleId="100">
    <w:name w:val="正文首行缩进 2 字符"/>
    <w:basedOn w:val="87"/>
    <w:link w:val="56"/>
    <w:semiHidden/>
    <w:qFormat/>
    <w:locked/>
    <w:uiPriority w:val="99"/>
    <w:rPr>
      <w:rFonts w:ascii="Times New Roman" w:hAnsi="Times New Roman" w:eastAsia="宋体" w:cs="Times New Roman"/>
      <w:sz w:val="24"/>
      <w:szCs w:val="24"/>
    </w:rPr>
  </w:style>
  <w:style w:type="character" w:customStyle="1" w:styleId="101">
    <w:name w:val="正文文本缩进 2 Char"/>
    <w:qFormat/>
    <w:uiPriority w:val="99"/>
  </w:style>
  <w:style w:type="character" w:customStyle="1" w:styleId="102">
    <w:name w:val="脚注文本 Char"/>
    <w:qFormat/>
    <w:uiPriority w:val="99"/>
    <w:rPr>
      <w:rFonts w:ascii="Calibri" w:hAnsi="Calibri" w:cs="Calibri"/>
      <w:sz w:val="18"/>
      <w:szCs w:val="18"/>
    </w:rPr>
  </w:style>
  <w:style w:type="character" w:customStyle="1" w:styleId="103">
    <w:name w:val="批注主题 Char"/>
    <w:qFormat/>
    <w:uiPriority w:val="99"/>
    <w:rPr>
      <w:b/>
      <w:bCs/>
      <w:sz w:val="24"/>
      <w:szCs w:val="24"/>
    </w:rPr>
  </w:style>
  <w:style w:type="character" w:customStyle="1" w:styleId="104">
    <w:name w:val="纯文本 Char"/>
    <w:qFormat/>
    <w:uiPriority w:val="99"/>
    <w:rPr>
      <w:rFonts w:ascii="宋体" w:hAnsi="Courier New" w:eastAsia="宋体" w:cs="宋体"/>
    </w:rPr>
  </w:style>
  <w:style w:type="character" w:customStyle="1" w:styleId="105">
    <w:name w:val="文档结构图 Char"/>
    <w:qFormat/>
    <w:uiPriority w:val="99"/>
    <w:rPr>
      <w:rFonts w:ascii="宋体" w:cs="宋体"/>
      <w:sz w:val="18"/>
      <w:szCs w:val="18"/>
    </w:rPr>
  </w:style>
  <w:style w:type="character" w:customStyle="1" w:styleId="106">
    <w:name w:val="HTML 预设格式 Char"/>
    <w:qFormat/>
    <w:uiPriority w:val="99"/>
    <w:rPr>
      <w:rFonts w:ascii="Courier New" w:hAnsi="Courier New" w:cs="Courier New"/>
    </w:rPr>
  </w:style>
  <w:style w:type="character" w:customStyle="1" w:styleId="107">
    <w:name w:val="style1"/>
    <w:qFormat/>
    <w:uiPriority w:val="99"/>
  </w:style>
  <w:style w:type="character" w:customStyle="1" w:styleId="108">
    <w:name w:val="日期 Char"/>
    <w:qFormat/>
    <w:uiPriority w:val="99"/>
    <w:rPr>
      <w:rFonts w:ascii="宋体" w:eastAsia="宋体" w:cs="宋体"/>
      <w:sz w:val="28"/>
      <w:szCs w:val="28"/>
    </w:rPr>
  </w:style>
  <w:style w:type="character" w:customStyle="1" w:styleId="109">
    <w:name w:val="批注框文本 Char"/>
    <w:qFormat/>
    <w:uiPriority w:val="99"/>
    <w:rPr>
      <w:sz w:val="18"/>
      <w:szCs w:val="18"/>
    </w:rPr>
  </w:style>
  <w:style w:type="character" w:customStyle="1" w:styleId="110">
    <w:name w:val="正文文本 Char"/>
    <w:qFormat/>
    <w:uiPriority w:val="99"/>
    <w:rPr>
      <w:rFonts w:eastAsia="宋体"/>
      <w:sz w:val="24"/>
      <w:szCs w:val="24"/>
    </w:rPr>
  </w:style>
  <w:style w:type="character" w:customStyle="1" w:styleId="111">
    <w:name w:val="批注文字 Char"/>
    <w:semiHidden/>
    <w:qFormat/>
    <w:uiPriority w:val="99"/>
    <w:rPr>
      <w:rFonts w:eastAsia="宋体"/>
      <w:sz w:val="24"/>
      <w:szCs w:val="24"/>
    </w:rPr>
  </w:style>
  <w:style w:type="character" w:customStyle="1" w:styleId="112">
    <w:name w:val="标题 1 Char Char"/>
    <w:qFormat/>
    <w:uiPriority w:val="99"/>
    <w:rPr>
      <w:rFonts w:eastAsia="宋体"/>
      <w:b/>
      <w:bCs/>
      <w:spacing w:val="-2"/>
      <w:sz w:val="24"/>
      <w:szCs w:val="24"/>
      <w:lang w:val="en-US" w:eastAsia="zh-CN"/>
    </w:rPr>
  </w:style>
  <w:style w:type="character" w:customStyle="1" w:styleId="113">
    <w:name w:val="正文文本 2 Char2"/>
    <w:link w:val="114"/>
    <w:qFormat/>
    <w:locked/>
    <w:uiPriority w:val="99"/>
    <w:rPr>
      <w:rFonts w:ascii="Calibri" w:hAnsi="Calibri" w:cs="Calibri"/>
      <w:sz w:val="21"/>
      <w:szCs w:val="21"/>
    </w:rPr>
  </w:style>
  <w:style w:type="paragraph" w:customStyle="1" w:styleId="114">
    <w:name w:val="正文文本 21"/>
    <w:basedOn w:val="1"/>
    <w:link w:val="113"/>
    <w:qFormat/>
    <w:uiPriority w:val="99"/>
    <w:pPr>
      <w:spacing w:before="280" w:after="120" w:line="480" w:lineRule="auto"/>
      <w:ind w:left="420" w:hanging="420"/>
    </w:pPr>
    <w:rPr>
      <w:rFonts w:ascii="Calibri" w:hAnsi="Calibri"/>
      <w:kern w:val="0"/>
    </w:rPr>
  </w:style>
  <w:style w:type="character" w:customStyle="1" w:styleId="115">
    <w:name w:val="正文文本 2 Char"/>
    <w:qFormat/>
    <w:uiPriority w:val="99"/>
    <w:rPr>
      <w:rFonts w:ascii="宋体" w:eastAsia="宋体" w:cs="宋体"/>
      <w:sz w:val="24"/>
      <w:szCs w:val="24"/>
    </w:rPr>
  </w:style>
  <w:style w:type="character" w:customStyle="1" w:styleId="116">
    <w:name w:val="flName Char"/>
    <w:link w:val="117"/>
    <w:qFormat/>
    <w:locked/>
    <w:uiPriority w:val="99"/>
    <w:rPr>
      <w:rFonts w:ascii="Arial" w:hAnsi="Arial" w:eastAsia="黑体" w:cs="Arial"/>
      <w:sz w:val="32"/>
      <w:szCs w:val="32"/>
    </w:rPr>
  </w:style>
  <w:style w:type="paragraph" w:customStyle="1" w:styleId="117">
    <w:name w:val="flName"/>
    <w:basedOn w:val="1"/>
    <w:link w:val="116"/>
    <w:qFormat/>
    <w:uiPriority w:val="99"/>
    <w:pPr>
      <w:adjustRightInd w:val="0"/>
      <w:spacing w:before="320" w:after="160" w:line="360" w:lineRule="atLeast"/>
      <w:jc w:val="center"/>
    </w:pPr>
    <w:rPr>
      <w:rFonts w:ascii="Arial" w:hAnsi="Arial" w:eastAsia="黑体"/>
      <w:kern w:val="0"/>
      <w:sz w:val="32"/>
      <w:szCs w:val="32"/>
    </w:rPr>
  </w:style>
  <w:style w:type="character" w:customStyle="1" w:styleId="118">
    <w:name w:val="正文缩进 Char"/>
    <w:qFormat/>
    <w:uiPriority w:val="99"/>
    <w:rPr>
      <w:rFonts w:eastAsia="宋体"/>
      <w:kern w:val="2"/>
      <w:sz w:val="24"/>
      <w:szCs w:val="24"/>
      <w:lang w:val="en-US" w:eastAsia="zh-CN"/>
    </w:rPr>
  </w:style>
  <w:style w:type="character" w:customStyle="1" w:styleId="119">
    <w:name w:val="标题3 字符"/>
    <w:link w:val="120"/>
    <w:qFormat/>
    <w:locked/>
    <w:uiPriority w:val="99"/>
    <w:rPr>
      <w:rFonts w:ascii="宋体" w:eastAsia="宋体" w:cs="宋体"/>
      <w:sz w:val="28"/>
      <w:szCs w:val="28"/>
    </w:rPr>
  </w:style>
  <w:style w:type="paragraph" w:customStyle="1" w:styleId="120">
    <w:name w:val="标题3"/>
    <w:basedOn w:val="4"/>
    <w:next w:val="1"/>
    <w:link w:val="119"/>
    <w:qFormat/>
    <w:uiPriority w:val="99"/>
    <w:rPr>
      <w:rFonts w:ascii="宋体"/>
      <w:b w:val="0"/>
      <w:bCs w:val="0"/>
      <w:kern w:val="0"/>
      <w:sz w:val="28"/>
      <w:szCs w:val="28"/>
    </w:rPr>
  </w:style>
  <w:style w:type="character" w:customStyle="1" w:styleId="121">
    <w:name w:val="正文缩进 字符"/>
    <w:link w:val="14"/>
    <w:qFormat/>
    <w:locked/>
    <w:uiPriority w:val="99"/>
    <w:rPr>
      <w:rFonts w:eastAsia="宋体"/>
      <w:sz w:val="24"/>
      <w:szCs w:val="24"/>
    </w:rPr>
  </w:style>
  <w:style w:type="character" w:customStyle="1" w:styleId="122">
    <w:name w:val="Style Heading 3 + Char"/>
    <w:link w:val="123"/>
    <w:qFormat/>
    <w:locked/>
    <w:uiPriority w:val="99"/>
    <w:rPr>
      <w:b/>
      <w:bCs/>
      <w:sz w:val="28"/>
      <w:szCs w:val="28"/>
    </w:rPr>
  </w:style>
  <w:style w:type="paragraph" w:customStyle="1" w:styleId="123">
    <w:name w:val="Style Heading 3 +"/>
    <w:basedOn w:val="4"/>
    <w:link w:val="122"/>
    <w:qFormat/>
    <w:uiPriority w:val="99"/>
    <w:pPr>
      <w:spacing w:before="120" w:after="120" w:line="120" w:lineRule="atLeast"/>
    </w:pPr>
    <w:rPr>
      <w:kern w:val="0"/>
      <w:sz w:val="28"/>
      <w:szCs w:val="28"/>
    </w:rPr>
  </w:style>
  <w:style w:type="character" w:customStyle="1" w:styleId="124">
    <w:name w:val="正文文本缩进 Char"/>
    <w:qFormat/>
    <w:uiPriority w:val="99"/>
    <w:rPr>
      <w:rFonts w:eastAsia="宋体"/>
      <w:sz w:val="24"/>
      <w:szCs w:val="24"/>
    </w:rPr>
  </w:style>
  <w:style w:type="character" w:customStyle="1" w:styleId="125">
    <w:name w:val="正文缩进2格 Char"/>
    <w:qFormat/>
    <w:uiPriority w:val="99"/>
    <w:rPr>
      <w:rFonts w:ascii="仿宋_GB2312" w:hAnsi="宋体" w:eastAsia="仿宋_GB2312" w:cs="仿宋_GB2312"/>
      <w:kern w:val="2"/>
      <w:sz w:val="28"/>
      <w:szCs w:val="28"/>
      <w:lang w:val="en-US" w:eastAsia="zh-CN"/>
    </w:rPr>
  </w:style>
  <w:style w:type="character" w:customStyle="1" w:styleId="126">
    <w:name w:val="无间隔 字符"/>
    <w:link w:val="127"/>
    <w:qFormat/>
    <w:locked/>
    <w:uiPriority w:val="99"/>
    <w:rPr>
      <w:rFonts w:ascii="Calibri" w:hAnsi="Calibri" w:cs="Calibri"/>
      <w:kern w:val="2"/>
      <w:sz w:val="22"/>
      <w:szCs w:val="22"/>
      <w:lang w:val="en-US" w:eastAsia="zh-CN" w:bidi="ar-SA"/>
    </w:rPr>
  </w:style>
  <w:style w:type="paragraph" w:styleId="127">
    <w:name w:val="No Spacing"/>
    <w:link w:val="126"/>
    <w:qFormat/>
    <w:uiPriority w:val="99"/>
    <w:rPr>
      <w:rFonts w:ascii="Calibri" w:hAnsi="Calibri" w:eastAsia="宋体" w:cs="Calibri"/>
      <w:kern w:val="2"/>
      <w:sz w:val="22"/>
      <w:szCs w:val="22"/>
      <w:lang w:val="en-US" w:eastAsia="zh-CN" w:bidi="ar-SA"/>
    </w:rPr>
  </w:style>
  <w:style w:type="character" w:customStyle="1" w:styleId="128">
    <w:name w:val="HTML 预设格式 Char1"/>
    <w:qFormat/>
    <w:locked/>
    <w:uiPriority w:val="99"/>
    <w:rPr>
      <w:rFonts w:ascii="Courier New" w:hAnsi="Courier New" w:eastAsia="宋体" w:cs="Courier New"/>
      <w:kern w:val="0"/>
      <w:sz w:val="20"/>
      <w:szCs w:val="20"/>
    </w:rPr>
  </w:style>
  <w:style w:type="character" w:customStyle="1" w:styleId="129">
    <w:name w:val="正文首行缩进 Char"/>
    <w:qFormat/>
    <w:uiPriority w:val="99"/>
    <w:rPr>
      <w:b/>
      <w:bCs/>
      <w:sz w:val="24"/>
      <w:szCs w:val="24"/>
    </w:rPr>
  </w:style>
  <w:style w:type="character" w:customStyle="1" w:styleId="130">
    <w:name w:val="正文首行缩进 2 Char"/>
    <w:basedOn w:val="124"/>
    <w:qFormat/>
    <w:locked/>
    <w:uiPriority w:val="99"/>
    <w:rPr>
      <w:rFonts w:eastAsia="宋体"/>
      <w:sz w:val="24"/>
      <w:szCs w:val="24"/>
    </w:rPr>
  </w:style>
  <w:style w:type="character" w:customStyle="1" w:styleId="131">
    <w:name w:val="16"/>
    <w:qFormat/>
    <w:uiPriority w:val="99"/>
    <w:rPr>
      <w:rFonts w:ascii="Calibri" w:hAnsi="Calibri" w:cs="Calibri"/>
      <w:color w:val="0000FF"/>
      <w:u w:val="single"/>
    </w:rPr>
  </w:style>
  <w:style w:type="character" w:customStyle="1" w:styleId="132">
    <w:name w:val="Char Char4"/>
    <w:qFormat/>
    <w:uiPriority w:val="99"/>
    <w:rPr>
      <w:rFonts w:eastAsia="宋体"/>
      <w:kern w:val="2"/>
      <w:sz w:val="24"/>
      <w:szCs w:val="24"/>
      <w:lang w:val="en-US" w:eastAsia="zh-CN"/>
    </w:rPr>
  </w:style>
  <w:style w:type="character" w:customStyle="1" w:styleId="133">
    <w:name w:val="正文缩进2格 Char Char"/>
    <w:link w:val="134"/>
    <w:qFormat/>
    <w:locked/>
    <w:uiPriority w:val="0"/>
    <w:rPr>
      <w:rFonts w:ascii="仿宋_GB2312" w:hAnsi="宋体" w:eastAsia="仿宋_GB2312" w:cs="仿宋_GB2312"/>
      <w:sz w:val="28"/>
      <w:szCs w:val="28"/>
    </w:rPr>
  </w:style>
  <w:style w:type="paragraph" w:customStyle="1" w:styleId="134">
    <w:name w:val="正文缩进2格"/>
    <w:basedOn w:val="1"/>
    <w:link w:val="133"/>
    <w:qFormat/>
    <w:uiPriority w:val="0"/>
    <w:pPr>
      <w:spacing w:line="600" w:lineRule="exact"/>
      <w:ind w:firstLine="639" w:firstLineChars="206"/>
    </w:pPr>
    <w:rPr>
      <w:rFonts w:ascii="仿宋_GB2312" w:hAnsi="宋体" w:eastAsia="仿宋_GB2312"/>
      <w:kern w:val="0"/>
      <w:sz w:val="28"/>
      <w:szCs w:val="28"/>
    </w:rPr>
  </w:style>
  <w:style w:type="paragraph" w:customStyle="1" w:styleId="135">
    <w:name w:val="xl74"/>
    <w:basedOn w:val="1"/>
    <w:qFormat/>
    <w:uiPriority w:val="99"/>
    <w:pPr>
      <w:widowControl/>
      <w:pBdr>
        <w:top w:val="single" w:color="000000" w:sz="4" w:space="0"/>
        <w:bottom w:val="single" w:color="000000" w:sz="4" w:space="0"/>
      </w:pBdr>
      <w:spacing w:before="100" w:beforeAutospacing="1" w:after="100" w:afterAutospacing="1"/>
      <w:jc w:val="center"/>
    </w:pPr>
    <w:rPr>
      <w:rFonts w:ascii="宋体" w:hAnsi="宋体" w:cs="宋体"/>
      <w:kern w:val="0"/>
      <w:sz w:val="20"/>
      <w:szCs w:val="20"/>
    </w:rPr>
  </w:style>
  <w:style w:type="paragraph" w:customStyle="1" w:styleId="136">
    <w:name w:val="xl81"/>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7">
    <w:name w:val="xl82"/>
    <w:basedOn w:val="1"/>
    <w:qFormat/>
    <w:uiPriority w:val="99"/>
    <w:pPr>
      <w:widowControl/>
      <w:pBdr>
        <w:bottom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正文样式"/>
    <w:basedOn w:val="1"/>
    <w:qFormat/>
    <w:uiPriority w:val="99"/>
    <w:pPr>
      <w:spacing w:line="440" w:lineRule="exact"/>
      <w:ind w:firstLine="200" w:firstLineChars="200"/>
    </w:pPr>
    <w:rPr>
      <w:rFonts w:ascii="仿宋_GB2312" w:eastAsia="仿宋_GB2312" w:cs="仿宋_GB2312"/>
      <w:sz w:val="28"/>
      <w:szCs w:val="28"/>
    </w:rPr>
  </w:style>
  <w:style w:type="paragraph" w:customStyle="1" w:styleId="139">
    <w:name w:val="xl78"/>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40">
    <w:name w:val="xl99"/>
    <w:basedOn w:val="1"/>
    <w:qFormat/>
    <w:uiPriority w:val="99"/>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141">
    <w:name w:val="xl92"/>
    <w:basedOn w:val="1"/>
    <w:qFormat/>
    <w:uiPriority w:val="99"/>
    <w:pPr>
      <w:widowControl/>
      <w:pBdr>
        <w:top w:val="single" w:color="000000" w:sz="4" w:space="0"/>
      </w:pBdr>
      <w:spacing w:before="100" w:beforeAutospacing="1" w:after="100" w:afterAutospacing="1"/>
      <w:jc w:val="center"/>
    </w:pPr>
    <w:rPr>
      <w:rFonts w:ascii="宋体" w:hAnsi="宋体" w:cs="宋体"/>
      <w:kern w:val="0"/>
      <w:sz w:val="20"/>
      <w:szCs w:val="20"/>
    </w:rPr>
  </w:style>
  <w:style w:type="paragraph" w:customStyle="1" w:styleId="142">
    <w:name w:val="xl10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43">
    <w:name w:val="xl76"/>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44">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45">
    <w:name w:val="xl100"/>
    <w:basedOn w:val="1"/>
    <w:qFormat/>
    <w:uiPriority w:val="99"/>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7">
    <w:name w:val="xl105"/>
    <w:basedOn w:val="1"/>
    <w:qFormat/>
    <w:uiPriority w:val="99"/>
    <w:pPr>
      <w:widowControl/>
      <w:pBdr>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8">
    <w:name w:val="xl90"/>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149">
    <w:name w:val="p0"/>
    <w:basedOn w:val="1"/>
    <w:qFormat/>
    <w:uiPriority w:val="99"/>
    <w:pPr>
      <w:widowControl/>
    </w:pPr>
    <w:rPr>
      <w:rFonts w:ascii="Calibri" w:hAnsi="Calibri" w:cs="Calibri"/>
      <w:kern w:val="0"/>
    </w:rPr>
  </w:style>
  <w:style w:type="paragraph" w:customStyle="1" w:styleId="150">
    <w:name w:val="xl86"/>
    <w:basedOn w:val="1"/>
    <w:qFormat/>
    <w:uiPriority w:val="99"/>
    <w:pPr>
      <w:widowControl/>
      <w:pBdr>
        <w:top w:val="single" w:color="000000" w:sz="4" w:space="0"/>
        <w:left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51">
    <w:name w:val="xl95"/>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52">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54">
    <w:name w:val="xl89"/>
    <w:basedOn w:val="1"/>
    <w:qFormat/>
    <w:uiPriority w:val="99"/>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styleId="155">
    <w:name w:val="List Paragraph"/>
    <w:basedOn w:val="1"/>
    <w:qFormat/>
    <w:uiPriority w:val="34"/>
    <w:pPr>
      <w:ind w:firstLine="420" w:firstLineChars="200"/>
    </w:pPr>
  </w:style>
  <w:style w:type="paragraph" w:customStyle="1" w:styleId="156">
    <w:name w:val="xl98"/>
    <w:basedOn w:val="1"/>
    <w:qFormat/>
    <w:uiPriority w:val="99"/>
    <w:pPr>
      <w:widowControl/>
      <w:pBdr>
        <w:bottom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57">
    <w:name w:val="xl85"/>
    <w:basedOn w:val="1"/>
    <w:qFormat/>
    <w:uiPriority w:val="99"/>
    <w:pPr>
      <w:widowControl/>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58">
    <w:name w:val="font6"/>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159">
    <w:name w:val="xl80"/>
    <w:basedOn w:val="1"/>
    <w:qFormat/>
    <w:uiPriority w:val="99"/>
    <w:pPr>
      <w:widowControl/>
      <w:pBdr>
        <w:left w:val="single" w:color="000000" w:sz="4" w:space="0"/>
        <w:bottom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60">
    <w:name w:val="样式 标题 1 + 宋体 段前: 0 磅 段后: 0 磅 行距: 单倍行距"/>
    <w:basedOn w:val="2"/>
    <w:next w:val="1"/>
    <w:qFormat/>
    <w:uiPriority w:val="99"/>
    <w:pPr>
      <w:keepLines/>
      <w:spacing w:beforeLines="100" w:afterLines="100"/>
    </w:pPr>
    <w:rPr>
      <w:rFonts w:ascii="仿宋_GB2312" w:hAnsi="宋体" w:cs="仿宋_GB2312"/>
      <w:b/>
      <w:bCs/>
      <w:kern w:val="44"/>
      <w:sz w:val="44"/>
      <w:szCs w:val="44"/>
    </w:rPr>
  </w:style>
  <w:style w:type="paragraph" w:customStyle="1" w:styleId="161">
    <w:name w:val="正文文字3"/>
    <w:basedOn w:val="20"/>
    <w:qFormat/>
    <w:uiPriority w:val="99"/>
    <w:pPr>
      <w:adjustRightInd w:val="0"/>
      <w:spacing w:after="0" w:line="360" w:lineRule="atLeast"/>
      <w:ind w:left="30" w:leftChars="30" w:right="30" w:rightChars="30"/>
    </w:pPr>
  </w:style>
  <w:style w:type="paragraph" w:customStyle="1" w:styleId="162">
    <w:name w:val="TOC 标题1"/>
    <w:basedOn w:val="2"/>
    <w:next w:val="1"/>
    <w:qFormat/>
    <w:uiPriority w:val="99"/>
    <w:pPr>
      <w:keepLines/>
      <w:widowControl/>
      <w:spacing w:before="480" w:line="276" w:lineRule="auto"/>
      <w:jc w:val="left"/>
      <w:outlineLvl w:val="9"/>
    </w:pPr>
    <w:rPr>
      <w:rFonts w:ascii="Cambria" w:hAnsi="Cambria" w:eastAsia="宋体" w:cs="Cambria"/>
      <w:b/>
      <w:bCs/>
      <w:color w:val="365F91"/>
      <w:kern w:val="0"/>
    </w:rPr>
  </w:style>
  <w:style w:type="paragraph" w:customStyle="1" w:styleId="163">
    <w:name w:val="图文"/>
    <w:basedOn w:val="1"/>
    <w:qFormat/>
    <w:uiPriority w:val="99"/>
    <w:pPr>
      <w:adjustRightInd w:val="0"/>
      <w:snapToGrid w:val="0"/>
      <w:spacing w:after="50" w:line="360" w:lineRule="auto"/>
    </w:pPr>
    <w:rPr>
      <w:sz w:val="24"/>
      <w:szCs w:val="24"/>
    </w:rPr>
  </w:style>
  <w:style w:type="paragraph" w:customStyle="1" w:styleId="164">
    <w:name w:val="6"/>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65">
    <w:name w:val="段"/>
    <w:next w:val="1"/>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66">
    <w:name w:val="xl84"/>
    <w:basedOn w:val="1"/>
    <w:qFormat/>
    <w:uiPriority w:val="99"/>
    <w:pPr>
      <w:widowControl/>
      <w:pBdr>
        <w:left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67">
    <w:name w:val="xl107"/>
    <w:basedOn w:val="1"/>
    <w:qFormat/>
    <w:uiPriority w:val="99"/>
    <w:pPr>
      <w:widowControl/>
      <w:spacing w:before="100" w:beforeAutospacing="1" w:after="100" w:afterAutospacing="1"/>
      <w:jc w:val="center"/>
    </w:pPr>
    <w:rPr>
      <w:rFonts w:ascii="宋体" w:hAnsi="宋体" w:cs="宋体"/>
      <w:b/>
      <w:bCs/>
      <w:kern w:val="0"/>
      <w:sz w:val="24"/>
      <w:szCs w:val="24"/>
    </w:rPr>
  </w:style>
  <w:style w:type="paragraph" w:customStyle="1" w:styleId="168">
    <w:name w:val="xl65"/>
    <w:basedOn w:val="1"/>
    <w:qFormat/>
    <w:uiPriority w:val="99"/>
    <w:pPr>
      <w:widowControl/>
      <w:spacing w:before="100" w:beforeAutospacing="1" w:after="100" w:afterAutospacing="1"/>
      <w:jc w:val="center"/>
      <w:textAlignment w:val="center"/>
    </w:pPr>
    <w:rPr>
      <w:rFonts w:ascii="宋体" w:hAnsi="宋体" w:cs="宋体"/>
      <w:b/>
      <w:bCs/>
      <w:kern w:val="0"/>
      <w:sz w:val="44"/>
      <w:szCs w:val="44"/>
    </w:rPr>
  </w:style>
  <w:style w:type="paragraph" w:customStyle="1" w:styleId="169">
    <w:name w:val="1"/>
    <w:basedOn w:val="1"/>
    <w:next w:val="30"/>
    <w:qFormat/>
    <w:uiPriority w:val="99"/>
    <w:rPr>
      <w:rFonts w:ascii="宋体" w:hAnsi="Courier New" w:cs="宋体"/>
    </w:rPr>
  </w:style>
  <w:style w:type="paragraph" w:customStyle="1" w:styleId="170">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71">
    <w:name w:val="xl106"/>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72">
    <w:name w:val="xl104"/>
    <w:basedOn w:val="1"/>
    <w:qFormat/>
    <w:uiPriority w:val="99"/>
    <w:pPr>
      <w:widowControl/>
      <w:pBdr>
        <w:left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73">
    <w:name w:val="xl108"/>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4">
    <w:name w:val="xl111"/>
    <w:basedOn w:val="1"/>
    <w:qFormat/>
    <w:uiPriority w:val="99"/>
    <w:pPr>
      <w:widowControl/>
      <w:pBdr>
        <w:left w:val="single" w:color="000000" w:sz="4" w:space="0"/>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5">
    <w:name w:val="xl91"/>
    <w:basedOn w:val="1"/>
    <w:qFormat/>
    <w:uiPriority w:val="99"/>
    <w:pPr>
      <w:widowControl/>
      <w:pBdr>
        <w:top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76">
    <w:name w:val="xl94"/>
    <w:basedOn w:val="1"/>
    <w:qFormat/>
    <w:uiPriority w:val="99"/>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7">
    <w:name w:val="Char2"/>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7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179">
    <w:name w:val="xl96"/>
    <w:basedOn w:val="1"/>
    <w:qFormat/>
    <w:uiPriority w:val="99"/>
    <w:pPr>
      <w:widowControl/>
      <w:pBdr>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80">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1">
    <w:name w:val="xl63"/>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82">
    <w:name w:val="xl79"/>
    <w:basedOn w:val="1"/>
    <w:qFormat/>
    <w:uiPriority w:val="99"/>
    <w:pPr>
      <w:widowControl/>
      <w:pBdr>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83">
    <w:name w:val="xl102"/>
    <w:basedOn w:val="1"/>
    <w:qFormat/>
    <w:uiPriority w:val="99"/>
    <w:pPr>
      <w:widowControl/>
      <w:pBdr>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84">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85">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86">
    <w:name w:val="xl77"/>
    <w:basedOn w:val="1"/>
    <w:qFormat/>
    <w:uiPriority w:val="99"/>
    <w:pPr>
      <w:widowControl/>
      <w:pBdr>
        <w:bottom w:val="single" w:color="000000" w:sz="4" w:space="0"/>
      </w:pBdr>
      <w:spacing w:before="100" w:beforeAutospacing="1" w:after="100" w:afterAutospacing="1"/>
      <w:jc w:val="center"/>
    </w:pPr>
    <w:rPr>
      <w:rFonts w:ascii="宋体" w:hAnsi="宋体" w:cs="宋体"/>
      <w:kern w:val="0"/>
      <w:sz w:val="20"/>
      <w:szCs w:val="20"/>
    </w:rPr>
  </w:style>
  <w:style w:type="paragraph" w:customStyle="1" w:styleId="187">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188">
    <w:name w:val="xl97"/>
    <w:basedOn w:val="1"/>
    <w:qFormat/>
    <w:uiPriority w:val="99"/>
    <w:pPr>
      <w:widowControl/>
      <w:pBdr>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89">
    <w:name w:val="xl101"/>
    <w:basedOn w:val="1"/>
    <w:qFormat/>
    <w:uiPriority w:val="99"/>
    <w:pPr>
      <w:widowControl/>
      <w:pBdr>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0">
    <w:name w:val="列出段落1"/>
    <w:basedOn w:val="1"/>
    <w:qFormat/>
    <w:uiPriority w:val="99"/>
    <w:pPr>
      <w:widowControl/>
      <w:spacing w:before="100" w:beforeAutospacing="1" w:after="100" w:afterAutospacing="1"/>
      <w:jc w:val="left"/>
    </w:pPr>
    <w:rPr>
      <w:rFonts w:ascii="Arial" w:hAnsi="Arial" w:cs="Arial"/>
      <w:color w:val="000000"/>
      <w:sz w:val="18"/>
      <w:szCs w:val="18"/>
    </w:rPr>
  </w:style>
  <w:style w:type="paragraph" w:customStyle="1" w:styleId="191">
    <w:name w:val="xl93"/>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92">
    <w:name w:val="xl87"/>
    <w:basedOn w:val="1"/>
    <w:qFormat/>
    <w:uiPriority w:val="99"/>
    <w:pPr>
      <w:widowControl/>
      <w:pBdr>
        <w:top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93">
    <w:name w:val="Char"/>
    <w:basedOn w:val="1"/>
    <w:qFormat/>
    <w:uiPriority w:val="99"/>
  </w:style>
  <w:style w:type="paragraph" w:customStyle="1" w:styleId="194">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xl88"/>
    <w:basedOn w:val="1"/>
    <w:qFormat/>
    <w:uiPriority w:val="99"/>
    <w:pPr>
      <w:widowControl/>
      <w:pBdr>
        <w:left w:val="single" w:color="000000" w:sz="4" w:space="0"/>
      </w:pBdr>
      <w:spacing w:before="100" w:beforeAutospacing="1" w:after="100" w:afterAutospacing="1"/>
      <w:jc w:val="center"/>
    </w:pPr>
    <w:rPr>
      <w:rFonts w:ascii="宋体" w:hAnsi="宋体" w:cs="宋体"/>
      <w:kern w:val="0"/>
      <w:sz w:val="20"/>
      <w:szCs w:val="20"/>
    </w:rPr>
  </w:style>
  <w:style w:type="paragraph" w:customStyle="1" w:styleId="196">
    <w:name w:val="简单回函地址"/>
    <w:basedOn w:val="1"/>
    <w:qFormat/>
    <w:uiPriority w:val="99"/>
  </w:style>
  <w:style w:type="paragraph" w:customStyle="1" w:styleId="197">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8">
    <w:name w:val="xl110"/>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99">
    <w:name w:val="默认段落字体 Para Char Char Char Char"/>
    <w:basedOn w:val="1"/>
    <w:qFormat/>
    <w:uiPriority w:val="99"/>
  </w:style>
  <w:style w:type="paragraph" w:customStyle="1" w:styleId="200">
    <w:name w:val="纯文本1"/>
    <w:basedOn w:val="1"/>
    <w:qFormat/>
    <w:uiPriority w:val="99"/>
    <w:rPr>
      <w:rFonts w:ascii="宋体" w:hAnsi="Courier New" w:eastAsia="Times New Roman" w:cs="宋体"/>
    </w:rPr>
  </w:style>
  <w:style w:type="paragraph" w:customStyle="1" w:styleId="201">
    <w:name w:val="Char Char Char1 Char"/>
    <w:basedOn w:val="1"/>
    <w:qFormat/>
    <w:uiPriority w:val="99"/>
  </w:style>
  <w:style w:type="paragraph" w:customStyle="1" w:styleId="202">
    <w:name w:val="List Paragraph1"/>
    <w:basedOn w:val="1"/>
    <w:qFormat/>
    <w:uiPriority w:val="99"/>
    <w:pPr>
      <w:ind w:firstLine="420" w:firstLineChars="200"/>
    </w:pPr>
    <w:rPr>
      <w:rFonts w:ascii="Calibri" w:hAnsi="Calibri" w:eastAsia="楷体_GB2312" w:cs="Calibri"/>
      <w:kern w:val="0"/>
      <w:sz w:val="20"/>
      <w:szCs w:val="20"/>
    </w:rPr>
  </w:style>
  <w:style w:type="paragraph" w:customStyle="1" w:styleId="203">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04">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5">
    <w:name w:val="列出段落2"/>
    <w:basedOn w:val="1"/>
    <w:qFormat/>
    <w:uiPriority w:val="99"/>
    <w:pPr>
      <w:ind w:firstLine="420" w:firstLineChars="200"/>
    </w:pPr>
    <w:rPr>
      <w:rFonts w:ascii="Calibri" w:hAnsi="Calibri" w:cs="Calibri"/>
    </w:rPr>
  </w:style>
  <w:style w:type="paragraph" w:customStyle="1" w:styleId="206">
    <w:name w:val="xl64"/>
    <w:basedOn w:val="1"/>
    <w:qFormat/>
    <w:uiPriority w:val="99"/>
    <w:pPr>
      <w:widowControl/>
      <w:spacing w:before="100" w:beforeAutospacing="1" w:after="100" w:afterAutospacing="1"/>
      <w:jc w:val="center"/>
      <w:textAlignment w:val="center"/>
    </w:pPr>
    <w:rPr>
      <w:rFonts w:ascii="宋体" w:hAnsi="宋体" w:cs="宋体"/>
      <w:b/>
      <w:bCs/>
      <w:kern w:val="0"/>
      <w:sz w:val="44"/>
      <w:szCs w:val="44"/>
    </w:rPr>
  </w:style>
  <w:style w:type="paragraph" w:customStyle="1" w:styleId="207">
    <w:name w:val="xl109"/>
    <w:basedOn w:val="1"/>
    <w:qFormat/>
    <w:uiPriority w:val="99"/>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208">
    <w:name w:val="xl8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209">
    <w:name w:val="修订1"/>
    <w:hidden/>
    <w:qFormat/>
    <w:uiPriority w:val="99"/>
    <w:rPr>
      <w:rFonts w:ascii="Times New Roman" w:hAnsi="Times New Roman" w:eastAsia="宋体" w:cs="Times New Roman"/>
      <w:kern w:val="2"/>
      <w:sz w:val="21"/>
      <w:szCs w:val="21"/>
      <w:lang w:val="en-US" w:eastAsia="zh-CN" w:bidi="ar-SA"/>
    </w:rPr>
  </w:style>
  <w:style w:type="character" w:customStyle="1" w:styleId="210">
    <w:name w:val="hover"/>
    <w:basedOn w:val="59"/>
    <w:qFormat/>
    <w:uiPriority w:val="0"/>
    <w:rPr>
      <w:color w:val="FFFFFF"/>
    </w:rPr>
  </w:style>
  <w:style w:type="character" w:customStyle="1" w:styleId="211">
    <w:name w:val="hover1"/>
    <w:basedOn w:val="59"/>
    <w:qFormat/>
    <w:uiPriority w:val="0"/>
    <w:rPr>
      <w:color w:val="5FB878"/>
    </w:rPr>
  </w:style>
  <w:style w:type="character" w:customStyle="1" w:styleId="212">
    <w:name w:val="hover2"/>
    <w:basedOn w:val="59"/>
    <w:qFormat/>
    <w:uiPriority w:val="0"/>
    <w:rPr>
      <w:color w:val="5FB878"/>
    </w:rPr>
  </w:style>
  <w:style w:type="character" w:customStyle="1" w:styleId="213">
    <w:name w:val="15"/>
    <w:qFormat/>
    <w:uiPriority w:val="0"/>
    <w:rPr>
      <w:rFonts w:hint="default" w:ascii="Times New Roman" w:hAnsi="Times New Roman" w:cs="Times New Roman"/>
      <w:kern w:val="2"/>
      <w:sz w:val="21"/>
      <w:szCs w:val="21"/>
    </w:rPr>
  </w:style>
  <w:style w:type="table" w:customStyle="1" w:styleId="214">
    <w:name w:val="TableGrid"/>
    <w:qFormat/>
    <w:uiPriority w:val="0"/>
    <w:tblPr>
      <w:tblCellMar>
        <w:top w:w="0" w:type="dxa"/>
        <w:left w:w="0" w:type="dxa"/>
        <w:bottom w:w="0" w:type="dxa"/>
        <w:right w:w="0" w:type="dxa"/>
      </w:tblCellMar>
    </w:tblPr>
  </w:style>
  <w:style w:type="paragraph" w:customStyle="1" w:styleId="215">
    <w:name w:val="_Style 1"/>
    <w:basedOn w:val="1"/>
    <w:qFormat/>
    <w:uiPriority w:val="0"/>
    <w:pPr>
      <w:widowControl/>
      <w:spacing w:before="120" w:after="120"/>
      <w:ind w:left="720" w:firstLine="200" w:firstLineChars="200"/>
      <w:contextualSpacing/>
      <w:jc w:val="left"/>
    </w:pPr>
    <w:rPr>
      <w:rFonts w:ascii="Calibri" w:hAnsi="Calibri"/>
      <w:iCs/>
      <w:color w:val="17365D"/>
      <w:kern w:val="0"/>
      <w:szCs w:val="20"/>
    </w:rPr>
  </w:style>
  <w:style w:type="paragraph" w:customStyle="1" w:styleId="216">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character" w:customStyle="1" w:styleId="217">
    <w:name w:val="标题 3 Char"/>
    <w:link w:val="4"/>
    <w:qFormat/>
    <w:uiPriority w:val="0"/>
    <w:rPr>
      <w:rFonts w:ascii="Times New Roman" w:hAnsi="Times New Roman" w:eastAsia="宋体" w:cs="Times New Roman"/>
      <w:b/>
      <w:bCs/>
      <w:sz w:val="32"/>
      <w:szCs w:val="32"/>
    </w:rPr>
  </w:style>
  <w:style w:type="character" w:customStyle="1" w:styleId="218">
    <w:name w:val="font11"/>
    <w:qFormat/>
    <w:uiPriority w:val="0"/>
    <w:rPr>
      <w:rFonts w:hint="default" w:ascii="Times New Roman" w:hAnsi="Times New Roman" w:cs="Times New Roman"/>
      <w:color w:val="000000"/>
      <w:sz w:val="20"/>
      <w:szCs w:val="20"/>
      <w:u w:val="none"/>
    </w:rPr>
  </w:style>
  <w:style w:type="character" w:customStyle="1" w:styleId="219">
    <w:name w:val="font31"/>
    <w:basedOn w:val="59"/>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7A458A-8B90-47DC-9E96-2968F0733BE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44</Pages>
  <Words>24828</Words>
  <Characters>26000</Characters>
  <Lines>189</Lines>
  <Paragraphs>53</Paragraphs>
  <TotalTime>12</TotalTime>
  <ScaleCrop>false</ScaleCrop>
  <LinksUpToDate>false</LinksUpToDate>
  <CharactersWithSpaces>26953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2021-06-07T08:21:00Z</dcterms:created>
  <dc:creator>admin</dc:creator>
  <cp:lastModifiedBy>满愿</cp:lastModifiedBy>
  <dcterms:modified xsi:type="dcterms:W3CDTF">2026-08-21T08:37:37Z</dcterms:modified>
  <cp:revision>240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9DD99710199D4D7E85939E518D70FC86_13</vt:lpwstr>
  </property>
  <property fmtid="{D5CDD505-2E9C-101B-9397-08002B2CF9AE}" pid="4" name="KSOTemplateDocerSaveRecord">
    <vt:lpwstr>eyJoZGlkIjoiMDMzZmM3YWZkYTAyYTNjMDA4YzNmODg2YzFmMGUxZjEiLCJ1c2VySWQiOiIxODg2MTU0MjE4In0=</vt:lpwstr>
  </property>
</Properties>
</file>