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2E999">
      <w:pPr>
        <w:widowControl/>
        <w:ind w:right="-520" w:rightChars="-200"/>
        <w:rPr>
          <w:rFonts w:asciiTheme="minorEastAsia" w:hAnsiTheme="minorEastAsia" w:eastAsiaTheme="minorEastAsia" w:cstheme="minorEastAsia"/>
          <w:b/>
          <w:w w:val="80"/>
          <w:sz w:val="44"/>
          <w:szCs w:val="44"/>
        </w:rPr>
      </w:pPr>
    </w:p>
    <w:p w14:paraId="26DA9BB9">
      <w:pPr>
        <w:widowControl/>
        <w:ind w:left="-520" w:leftChars="-200" w:right="-520" w:rightChars="-200"/>
        <w:jc w:val="center"/>
        <w:rPr>
          <w:rFonts w:asciiTheme="minorEastAsia" w:hAnsiTheme="minorEastAsia" w:eastAsiaTheme="minorEastAsia" w:cstheme="minorEastAsia"/>
          <w:b/>
          <w:w w:val="80"/>
          <w:sz w:val="44"/>
          <w:szCs w:val="44"/>
        </w:rPr>
      </w:pPr>
    </w:p>
    <w:p w14:paraId="56AFC73D">
      <w:pPr>
        <w:widowControl/>
        <w:ind w:left="-520" w:leftChars="-200" w:right="-520" w:rightChars="-200"/>
        <w:jc w:val="center"/>
        <w:rPr>
          <w:rFonts w:asciiTheme="minorEastAsia" w:hAnsiTheme="minorEastAsia" w:eastAsiaTheme="minorEastAsia" w:cstheme="minorEastAsia"/>
          <w:b/>
          <w:w w:val="80"/>
          <w:sz w:val="56"/>
          <w:szCs w:val="56"/>
        </w:rPr>
      </w:pPr>
      <w:r>
        <w:rPr>
          <w:rFonts w:hint="eastAsia" w:asciiTheme="minorEastAsia" w:hAnsiTheme="minorEastAsia" w:eastAsiaTheme="minorEastAsia" w:cstheme="minorEastAsia"/>
          <w:b/>
          <w:w w:val="80"/>
          <w:sz w:val="52"/>
          <w:szCs w:val="52"/>
        </w:rPr>
        <w:t>南通师范高等专科学校主校区食堂改造项目设计</w:t>
      </w:r>
    </w:p>
    <w:p w14:paraId="7159FF98">
      <w:pPr>
        <w:jc w:val="center"/>
        <w:rPr>
          <w:rFonts w:asciiTheme="minorEastAsia" w:hAnsiTheme="minorEastAsia" w:eastAsiaTheme="minorEastAsia" w:cstheme="minorEastAsia"/>
          <w:b/>
          <w:w w:val="80"/>
          <w:sz w:val="72"/>
          <w:szCs w:val="72"/>
        </w:rPr>
      </w:pPr>
    </w:p>
    <w:p w14:paraId="2D3C52F4">
      <w:pPr>
        <w:jc w:val="center"/>
        <w:rPr>
          <w:rFonts w:asciiTheme="minorEastAsia" w:hAnsiTheme="minorEastAsia" w:eastAsiaTheme="minorEastAsia" w:cstheme="minorEastAsia"/>
          <w:b/>
          <w:w w:val="80"/>
          <w:sz w:val="72"/>
          <w:szCs w:val="72"/>
        </w:rPr>
      </w:pPr>
    </w:p>
    <w:p w14:paraId="1409F6A1">
      <w:pPr>
        <w:jc w:val="center"/>
        <w:rPr>
          <w:rFonts w:asciiTheme="minorEastAsia" w:hAnsiTheme="minorEastAsia" w:eastAsiaTheme="minorEastAsia" w:cstheme="minorEastAsia"/>
          <w:b/>
          <w:w w:val="80"/>
          <w:sz w:val="72"/>
          <w:szCs w:val="72"/>
        </w:rPr>
      </w:pPr>
    </w:p>
    <w:p w14:paraId="50B7B95D">
      <w:pPr>
        <w:jc w:val="center"/>
        <w:rPr>
          <w:rFonts w:asciiTheme="minorEastAsia" w:hAnsiTheme="minorEastAsia" w:eastAsiaTheme="minorEastAsia" w:cstheme="minorEastAsia"/>
          <w:b/>
          <w:w w:val="80"/>
          <w:sz w:val="72"/>
          <w:szCs w:val="72"/>
        </w:rPr>
      </w:pPr>
      <w:r>
        <w:rPr>
          <w:rFonts w:hint="eastAsia" w:asciiTheme="minorEastAsia" w:hAnsiTheme="minorEastAsia" w:eastAsiaTheme="minorEastAsia" w:cstheme="minorEastAsia"/>
          <w:b/>
          <w:w w:val="80"/>
          <w:sz w:val="72"/>
          <w:szCs w:val="72"/>
        </w:rPr>
        <w:t>竞争性磋商采购文件</w:t>
      </w:r>
    </w:p>
    <w:p w14:paraId="25716358">
      <w:pPr>
        <w:tabs>
          <w:tab w:val="left" w:pos="1050"/>
          <w:tab w:val="right" w:leader="dot" w:pos="9402"/>
        </w:tabs>
        <w:spacing w:line="520" w:lineRule="exact"/>
        <w:jc w:val="center"/>
        <w:rPr>
          <w:rFonts w:asciiTheme="minorEastAsia" w:hAnsiTheme="minorEastAsia" w:eastAsiaTheme="minorEastAsia" w:cstheme="minorEastAsia"/>
          <w:b/>
          <w:w w:val="80"/>
          <w:sz w:val="32"/>
          <w:szCs w:val="32"/>
        </w:rPr>
      </w:pPr>
    </w:p>
    <w:p w14:paraId="32DBE2C4">
      <w:pPr>
        <w:tabs>
          <w:tab w:val="left" w:pos="1050"/>
          <w:tab w:val="right" w:leader="dot" w:pos="9402"/>
        </w:tabs>
        <w:spacing w:line="520" w:lineRule="exact"/>
        <w:jc w:val="center"/>
        <w:rPr>
          <w:rFonts w:asciiTheme="minorEastAsia" w:hAnsiTheme="minorEastAsia" w:eastAsiaTheme="minorEastAsia" w:cstheme="minorEastAsia"/>
          <w:b/>
          <w:w w:val="80"/>
          <w:sz w:val="32"/>
          <w:szCs w:val="32"/>
        </w:rPr>
      </w:pPr>
    </w:p>
    <w:p w14:paraId="7DCF74A6">
      <w:pPr>
        <w:tabs>
          <w:tab w:val="left" w:pos="1050"/>
          <w:tab w:val="right" w:leader="dot" w:pos="9402"/>
        </w:tabs>
        <w:spacing w:line="520" w:lineRule="exact"/>
        <w:jc w:val="center"/>
        <w:rPr>
          <w:rFonts w:asciiTheme="minorEastAsia" w:hAnsiTheme="minorEastAsia" w:eastAsiaTheme="minorEastAsia" w:cstheme="minorEastAsia"/>
          <w:b/>
          <w:w w:val="80"/>
          <w:sz w:val="32"/>
          <w:szCs w:val="32"/>
        </w:rPr>
      </w:pPr>
      <w:r>
        <w:rPr>
          <w:rFonts w:hint="eastAsia" w:asciiTheme="minorEastAsia" w:hAnsiTheme="minorEastAsia" w:eastAsiaTheme="minorEastAsia" w:cstheme="minorEastAsia"/>
          <w:b/>
          <w:w w:val="80"/>
          <w:sz w:val="32"/>
          <w:szCs w:val="32"/>
        </w:rPr>
        <w:t>（资格后审）</w:t>
      </w:r>
    </w:p>
    <w:p w14:paraId="03BA0ECA">
      <w:pPr>
        <w:snapToGrid w:val="0"/>
        <w:spacing w:line="360" w:lineRule="auto"/>
        <w:jc w:val="center"/>
        <w:rPr>
          <w:rFonts w:asciiTheme="minorEastAsia" w:hAnsiTheme="minorEastAsia" w:eastAsiaTheme="minorEastAsia" w:cstheme="minorEastAsia"/>
          <w:sz w:val="32"/>
          <w:szCs w:val="32"/>
        </w:rPr>
      </w:pPr>
    </w:p>
    <w:p w14:paraId="10E31F8D">
      <w:pPr>
        <w:rPr>
          <w:rFonts w:asciiTheme="minorEastAsia" w:hAnsiTheme="minorEastAsia" w:eastAsiaTheme="minorEastAsia" w:cstheme="minorEastAsia"/>
        </w:rPr>
      </w:pPr>
    </w:p>
    <w:p w14:paraId="2F958C69">
      <w:pPr>
        <w:rPr>
          <w:rFonts w:asciiTheme="minorEastAsia" w:hAnsiTheme="minorEastAsia" w:eastAsiaTheme="minorEastAsia" w:cstheme="minorEastAsia"/>
        </w:rPr>
      </w:pPr>
    </w:p>
    <w:p w14:paraId="30E04ED3">
      <w:pPr>
        <w:pStyle w:val="26"/>
        <w:spacing w:before="156"/>
        <w:rPr>
          <w:rFonts w:asciiTheme="minorEastAsia" w:hAnsiTheme="minorEastAsia" w:eastAsiaTheme="minorEastAsia" w:cstheme="minorEastAsia"/>
          <w:kern w:val="2"/>
          <w:sz w:val="26"/>
        </w:rPr>
      </w:pPr>
    </w:p>
    <w:p w14:paraId="1102B0DD">
      <w:pPr>
        <w:pStyle w:val="26"/>
        <w:spacing w:before="156"/>
        <w:rPr>
          <w:rFonts w:asciiTheme="minorEastAsia" w:hAnsiTheme="minorEastAsia" w:eastAsiaTheme="minorEastAsia" w:cstheme="minorEastAsia"/>
          <w:kern w:val="2"/>
          <w:sz w:val="26"/>
        </w:rPr>
      </w:pPr>
    </w:p>
    <w:p w14:paraId="5D7E4E02">
      <w:pPr>
        <w:pStyle w:val="26"/>
        <w:spacing w:before="156"/>
        <w:rPr>
          <w:rFonts w:asciiTheme="minorEastAsia" w:hAnsiTheme="minorEastAsia" w:eastAsiaTheme="minorEastAsia" w:cstheme="minorEastAsia"/>
          <w:kern w:val="2"/>
          <w:sz w:val="26"/>
        </w:rPr>
      </w:pPr>
    </w:p>
    <w:p w14:paraId="49AA145B">
      <w:pPr>
        <w:tabs>
          <w:tab w:val="left" w:pos="1050"/>
          <w:tab w:val="right" w:leader="dot" w:pos="9402"/>
        </w:tabs>
        <w:spacing w:line="520" w:lineRule="exact"/>
        <w:jc w:val="center"/>
        <w:rPr>
          <w:rFonts w:asciiTheme="minorEastAsia" w:hAnsiTheme="minorEastAsia" w:eastAsiaTheme="minorEastAsia" w:cstheme="minorEastAsia"/>
          <w:w w:val="80"/>
          <w:sz w:val="28"/>
          <w:szCs w:val="28"/>
        </w:rPr>
      </w:pPr>
      <w:r>
        <w:rPr>
          <w:rFonts w:hint="eastAsia" w:asciiTheme="minorEastAsia" w:hAnsiTheme="minorEastAsia" w:eastAsiaTheme="minorEastAsia" w:cstheme="minorEastAsia"/>
          <w:w w:val="80"/>
          <w:sz w:val="28"/>
          <w:szCs w:val="28"/>
        </w:rPr>
        <w:t>采购代理机构：江苏东方华星工程造价咨询有限公司</w:t>
      </w:r>
    </w:p>
    <w:p w14:paraId="7CB11F76">
      <w:pPr>
        <w:jc w:val="center"/>
        <w:rPr>
          <w:rFonts w:asciiTheme="minorEastAsia" w:hAnsiTheme="minorEastAsia" w:eastAsiaTheme="minorEastAsia" w:cstheme="minorEastAsia"/>
          <w:w w:val="80"/>
          <w:sz w:val="28"/>
          <w:szCs w:val="28"/>
        </w:rPr>
      </w:pPr>
      <w:r>
        <w:rPr>
          <w:rFonts w:hint="eastAsia" w:asciiTheme="minorEastAsia" w:hAnsiTheme="minorEastAsia" w:eastAsiaTheme="minorEastAsia" w:cstheme="minorEastAsia"/>
          <w:w w:val="80"/>
          <w:sz w:val="28"/>
          <w:szCs w:val="28"/>
        </w:rPr>
        <w:t>二○二○年六月五日</w:t>
      </w:r>
    </w:p>
    <w:p w14:paraId="32D782E3">
      <w:pPr>
        <w:pStyle w:val="14"/>
        <w:ind w:firstLine="480"/>
        <w:rPr>
          <w:rFonts w:asciiTheme="minorEastAsia" w:hAnsiTheme="minorEastAsia" w:eastAsiaTheme="minorEastAsia" w:cstheme="minorEastAsia"/>
        </w:rPr>
      </w:pPr>
    </w:p>
    <w:p w14:paraId="4BBDF0D6">
      <w:pPr>
        <w:rPr>
          <w:rFonts w:asciiTheme="minorEastAsia" w:hAnsiTheme="minorEastAsia" w:eastAsiaTheme="minorEastAsia" w:cstheme="minorEastAsia"/>
        </w:rPr>
      </w:pPr>
    </w:p>
    <w:p w14:paraId="7623C204">
      <w:pPr>
        <w:spacing w:line="360" w:lineRule="auto"/>
        <w:jc w:val="center"/>
        <w:rPr>
          <w:rFonts w:asciiTheme="minorEastAsia" w:hAnsiTheme="minorEastAsia" w:eastAsiaTheme="minorEastAsia" w:cstheme="minorEastAsia"/>
          <w:sz w:val="28"/>
          <w:szCs w:val="28"/>
        </w:rPr>
      </w:pPr>
      <w:bookmarkStart w:id="0" w:name="_Toc15351_WPSOffice_Type1"/>
      <w:r>
        <w:rPr>
          <w:rFonts w:hint="eastAsia" w:asciiTheme="minorEastAsia" w:hAnsiTheme="minorEastAsia" w:eastAsiaTheme="minorEastAsia" w:cstheme="minorEastAsia"/>
          <w:b/>
          <w:w w:val="80"/>
          <w:sz w:val="28"/>
          <w:szCs w:val="28"/>
        </w:rPr>
        <w:t>目录</w:t>
      </w:r>
    </w:p>
    <w:bookmarkEnd w:id="0"/>
    <w:p w14:paraId="13D0BBF8">
      <w:pPr>
        <w:pStyle w:val="12"/>
        <w:tabs>
          <w:tab w:val="right" w:leader="dot" w:pos="8306"/>
        </w:tabs>
        <w:spacing w:line="360" w:lineRule="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"1-4" \h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"_Toc18114" </w:instrText>
      </w:r>
      <w:r>
        <w:fldChar w:fldCharType="separate"/>
      </w:r>
      <w:r>
        <w:rPr>
          <w:rFonts w:hint="eastAsia" w:asciiTheme="minorEastAsia" w:hAnsiTheme="minorEastAsia" w:eastAsiaTheme="minorEastAsia" w:cstheme="minorEastAsia"/>
          <w:w w:val="80"/>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_Toc18114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A7057B6">
      <w:pPr>
        <w:pStyle w:val="12"/>
        <w:tabs>
          <w:tab w:val="right" w:leader="dot" w:pos="8306"/>
        </w:tabs>
        <w:spacing w:line="360" w:lineRule="auto"/>
        <w:rPr>
          <w:rFonts w:asciiTheme="minorEastAsia" w:hAnsiTheme="minorEastAsia" w:eastAsiaTheme="minorEastAsia" w:cstheme="minorEastAsia"/>
          <w:sz w:val="28"/>
          <w:szCs w:val="28"/>
        </w:rPr>
      </w:pPr>
      <w:r>
        <w:fldChar w:fldCharType="begin"/>
      </w:r>
      <w:r>
        <w:instrText xml:space="preserve"> HYPERLINK \l "_Toc25566" </w:instrText>
      </w:r>
      <w:r>
        <w:fldChar w:fldCharType="separate"/>
      </w:r>
      <w:r>
        <w:rPr>
          <w:rFonts w:hint="eastAsia" w:asciiTheme="minorEastAsia" w:hAnsiTheme="minorEastAsia" w:eastAsiaTheme="minorEastAsia" w:cstheme="minorEastAsia"/>
          <w:w w:val="80"/>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_Toc25566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A205708">
      <w:pPr>
        <w:pStyle w:val="12"/>
        <w:tabs>
          <w:tab w:val="right" w:leader="dot" w:pos="8306"/>
        </w:tabs>
        <w:spacing w:line="360" w:lineRule="auto"/>
        <w:rPr>
          <w:rFonts w:asciiTheme="minorEastAsia" w:hAnsiTheme="minorEastAsia" w:eastAsiaTheme="minorEastAsia" w:cstheme="minorEastAsia"/>
          <w:sz w:val="28"/>
          <w:szCs w:val="28"/>
        </w:rPr>
      </w:pPr>
      <w:r>
        <w:fldChar w:fldCharType="begin"/>
      </w:r>
      <w:r>
        <w:instrText xml:space="preserve"> HYPERLINK \l "_Toc479" </w:instrText>
      </w:r>
      <w:r>
        <w:fldChar w:fldCharType="separate"/>
      </w:r>
      <w:r>
        <w:rPr>
          <w:rFonts w:hint="eastAsia" w:asciiTheme="minorEastAsia" w:hAnsiTheme="minorEastAsia" w:eastAsiaTheme="minorEastAsia" w:cstheme="minorEastAsia"/>
          <w:w w:val="80"/>
          <w:sz w:val="28"/>
          <w:szCs w:val="28"/>
        </w:rPr>
        <w:t>第三章  项目需求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_Toc479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C78CA4B">
      <w:pPr>
        <w:pStyle w:val="12"/>
        <w:tabs>
          <w:tab w:val="right" w:leader="dot" w:pos="8306"/>
        </w:tabs>
        <w:spacing w:line="360" w:lineRule="auto"/>
        <w:rPr>
          <w:rFonts w:asciiTheme="minorEastAsia" w:hAnsiTheme="minorEastAsia" w:eastAsiaTheme="minorEastAsia" w:cstheme="minorEastAsia"/>
          <w:sz w:val="28"/>
          <w:szCs w:val="28"/>
        </w:rPr>
      </w:pPr>
      <w:r>
        <w:fldChar w:fldCharType="begin"/>
      </w:r>
      <w:r>
        <w:instrText xml:space="preserve"> HYPERLINK \l "_Toc22160" </w:instrText>
      </w:r>
      <w:r>
        <w:fldChar w:fldCharType="separate"/>
      </w:r>
      <w:r>
        <w:rPr>
          <w:rFonts w:hint="eastAsia" w:asciiTheme="minorEastAsia" w:hAnsiTheme="minorEastAsia" w:eastAsiaTheme="minorEastAsia" w:cstheme="minorEastAsia"/>
          <w:w w:val="80"/>
          <w:sz w:val="28"/>
          <w:szCs w:val="28"/>
        </w:rPr>
        <w:t>第四章  合同范本</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7</w:t>
      </w:r>
    </w:p>
    <w:p w14:paraId="44F20E02">
      <w:pPr>
        <w:pStyle w:val="12"/>
        <w:tabs>
          <w:tab w:val="right" w:leader="dot" w:pos="8306"/>
        </w:tabs>
        <w:spacing w:line="360" w:lineRule="auto"/>
        <w:rPr>
          <w:rFonts w:asciiTheme="minorEastAsia" w:hAnsiTheme="minorEastAsia" w:eastAsiaTheme="minorEastAsia" w:cstheme="minorEastAsia"/>
          <w:sz w:val="28"/>
          <w:szCs w:val="28"/>
        </w:rPr>
      </w:pPr>
      <w:r>
        <w:fldChar w:fldCharType="begin"/>
      </w:r>
      <w:r>
        <w:instrText xml:space="preserve"> HYPERLINK \l "_Toc24658" </w:instrText>
      </w:r>
      <w:r>
        <w:fldChar w:fldCharType="separate"/>
      </w:r>
      <w:r>
        <w:rPr>
          <w:rFonts w:hint="eastAsia" w:asciiTheme="minorEastAsia" w:hAnsiTheme="minorEastAsia" w:eastAsiaTheme="minorEastAsia" w:cstheme="minorEastAsia"/>
          <w:w w:val="80"/>
          <w:sz w:val="28"/>
          <w:szCs w:val="28"/>
        </w:rPr>
        <w:t>第五章  评审标准和方法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1</w:t>
      </w:r>
    </w:p>
    <w:p w14:paraId="28049C03">
      <w:pPr>
        <w:pStyle w:val="12"/>
        <w:tabs>
          <w:tab w:val="right" w:leader="dot" w:pos="8306"/>
        </w:tabs>
        <w:spacing w:line="360" w:lineRule="auto"/>
        <w:rPr>
          <w:rFonts w:asciiTheme="minorEastAsia" w:hAnsiTheme="minorEastAsia" w:eastAsiaTheme="minorEastAsia" w:cstheme="minorEastAsia"/>
          <w:sz w:val="28"/>
          <w:szCs w:val="28"/>
        </w:rPr>
      </w:pPr>
      <w:r>
        <w:fldChar w:fldCharType="begin"/>
      </w:r>
      <w:r>
        <w:instrText xml:space="preserve"> HYPERLINK \l "_Toc12225" </w:instrText>
      </w:r>
      <w:r>
        <w:fldChar w:fldCharType="separate"/>
      </w:r>
      <w:r>
        <w:rPr>
          <w:rFonts w:hint="eastAsia" w:asciiTheme="minorEastAsia" w:hAnsiTheme="minorEastAsia" w:eastAsiaTheme="minorEastAsia" w:cstheme="minorEastAsia"/>
          <w:w w:val="80"/>
          <w:sz w:val="28"/>
          <w:szCs w:val="28"/>
        </w:rPr>
        <w:t>第六章  响应文件组成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23</w:t>
      </w:r>
    </w:p>
    <w:p w14:paraId="7224A21F">
      <w:pPr>
        <w:pStyle w:val="12"/>
        <w:tabs>
          <w:tab w:val="right" w:leader="dot" w:pos="8306"/>
        </w:tabs>
        <w:spacing w:line="360" w:lineRule="auto"/>
        <w:rPr>
          <w:rFonts w:asciiTheme="minorEastAsia" w:hAnsiTheme="minorEastAsia" w:eastAsiaTheme="minorEastAsia" w:cstheme="minorEastAsia"/>
          <w:sz w:val="28"/>
          <w:szCs w:val="28"/>
        </w:rPr>
      </w:pPr>
    </w:p>
    <w:p w14:paraId="47DD833D">
      <w:pPr>
        <w:pStyle w:val="14"/>
        <w:spacing w:line="360" w:lineRule="auto"/>
        <w:ind w:firstLine="560"/>
        <w:rPr>
          <w:rFonts w:asciiTheme="minorEastAsia" w:hAnsiTheme="minorEastAsia" w:eastAsiaTheme="minorEastAsia" w:cstheme="minorEastAsia"/>
          <w:u w:val="single"/>
        </w:rPr>
      </w:pPr>
      <w:r>
        <w:rPr>
          <w:rFonts w:hint="eastAsia" w:asciiTheme="minorEastAsia" w:hAnsiTheme="minorEastAsia" w:eastAsiaTheme="minorEastAsia" w:cstheme="minorEastAsia"/>
          <w:sz w:val="28"/>
          <w:szCs w:val="28"/>
        </w:rPr>
        <w:fldChar w:fldCharType="end"/>
      </w:r>
    </w:p>
    <w:p w14:paraId="5A5B1E8D">
      <w:pPr>
        <w:rPr>
          <w:rFonts w:asciiTheme="minorEastAsia" w:hAnsiTheme="minorEastAsia" w:eastAsiaTheme="minorEastAsia" w:cstheme="minorEastAsia"/>
        </w:rPr>
      </w:pPr>
    </w:p>
    <w:p w14:paraId="1090FCC0">
      <w:pPr>
        <w:rPr>
          <w:rFonts w:asciiTheme="minorEastAsia" w:hAnsiTheme="minorEastAsia" w:eastAsiaTheme="minorEastAsia" w:cstheme="minorEastAsia"/>
        </w:rPr>
      </w:pPr>
    </w:p>
    <w:p w14:paraId="6EC3C70F">
      <w:pPr>
        <w:rPr>
          <w:rFonts w:asciiTheme="minorEastAsia" w:hAnsiTheme="minorEastAsia" w:eastAsiaTheme="minorEastAsia" w:cstheme="minorEastAsia"/>
        </w:rPr>
      </w:pPr>
    </w:p>
    <w:p w14:paraId="61D4139E">
      <w:pPr>
        <w:tabs>
          <w:tab w:val="left" w:pos="2281"/>
        </w:tabs>
        <w:jc w:val="left"/>
        <w:rPr>
          <w:rFonts w:asciiTheme="minorEastAsia" w:hAnsiTheme="minorEastAsia" w:eastAsiaTheme="minorEastAsia" w:cstheme="minorEastAsia"/>
        </w:rPr>
      </w:pPr>
      <w:r>
        <w:rPr>
          <w:rFonts w:hint="eastAsia" w:asciiTheme="minorEastAsia" w:hAnsiTheme="minorEastAsia" w:eastAsiaTheme="minorEastAsia" w:cstheme="minorEastAsia"/>
        </w:rPr>
        <w:tab/>
      </w:r>
    </w:p>
    <w:p w14:paraId="31BDC5D3">
      <w:pPr>
        <w:rPr>
          <w:rFonts w:asciiTheme="minorEastAsia" w:hAnsiTheme="minorEastAsia" w:eastAsiaTheme="minorEastAsia" w:cstheme="minorEastAsia"/>
        </w:rPr>
      </w:pPr>
    </w:p>
    <w:p w14:paraId="06ECCBFE">
      <w:pPr>
        <w:rPr>
          <w:rFonts w:asciiTheme="minorEastAsia" w:hAnsiTheme="minorEastAsia" w:eastAsiaTheme="minorEastAsia" w:cstheme="minorEastAsia"/>
        </w:rPr>
      </w:pPr>
    </w:p>
    <w:p w14:paraId="51F7BC98">
      <w:pPr>
        <w:rPr>
          <w:rFonts w:asciiTheme="minorEastAsia" w:hAnsiTheme="minorEastAsia" w:eastAsiaTheme="minorEastAsia" w:cstheme="minorEastAsia"/>
        </w:rPr>
      </w:pPr>
    </w:p>
    <w:p w14:paraId="33562588">
      <w:pPr>
        <w:rPr>
          <w:rFonts w:asciiTheme="minorEastAsia" w:hAnsiTheme="minorEastAsia" w:eastAsiaTheme="minorEastAsia" w:cstheme="minorEastAsia"/>
        </w:rPr>
      </w:pPr>
    </w:p>
    <w:p w14:paraId="1850FD58">
      <w:pPr>
        <w:rPr>
          <w:rFonts w:asciiTheme="minorEastAsia" w:hAnsiTheme="minorEastAsia" w:eastAsiaTheme="minorEastAsia" w:cstheme="minorEastAsia"/>
        </w:rPr>
      </w:pPr>
    </w:p>
    <w:p w14:paraId="40A7D0F3">
      <w:pPr>
        <w:ind w:firstLine="391"/>
        <w:jc w:val="left"/>
        <w:rPr>
          <w:rFonts w:asciiTheme="minorEastAsia" w:hAnsiTheme="minorEastAsia" w:eastAsiaTheme="minorEastAsia" w:cstheme="minorEastAsia"/>
        </w:rPr>
        <w:sectPr>
          <w:pgSz w:w="11906" w:h="16838"/>
          <w:pgMar w:top="1440" w:right="1800" w:bottom="1440" w:left="1800" w:header="851" w:footer="992" w:gutter="0"/>
          <w:cols w:space="425" w:num="1"/>
          <w:docGrid w:type="lines" w:linePitch="312" w:charSpace="0"/>
        </w:sectPr>
      </w:pPr>
    </w:p>
    <w:p w14:paraId="56130C8E">
      <w:pPr>
        <w:snapToGrid w:val="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尊敬的磋商响应供应商（以下称供应商）：</w:t>
      </w:r>
    </w:p>
    <w:p w14:paraId="246591F1">
      <w:pPr>
        <w:snapToGrid w:val="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欢迎参加本采购项目的竞争性磋商。为了保证本次招标顺利进行，请在制作磋商响应文件（以下称投标文件）之前，仔细阅读本竞争性磋商文件的各项条款，并按要求制作和递交投标文件。谢谢合作！</w:t>
      </w:r>
    </w:p>
    <w:p w14:paraId="4278381C">
      <w:pPr>
        <w:tabs>
          <w:tab w:val="left" w:pos="1050"/>
          <w:tab w:val="right" w:leader="dot" w:pos="9402"/>
        </w:tabs>
        <w:snapToGrid w:val="0"/>
        <w:spacing w:beforeLines="100"/>
        <w:jc w:val="center"/>
        <w:outlineLvl w:val="0"/>
        <w:rPr>
          <w:rFonts w:asciiTheme="minorEastAsia" w:hAnsiTheme="minorEastAsia" w:eastAsiaTheme="minorEastAsia" w:cstheme="minorEastAsia"/>
          <w:b/>
          <w:w w:val="80"/>
          <w:sz w:val="24"/>
          <w:szCs w:val="24"/>
        </w:rPr>
      </w:pPr>
      <w:bookmarkStart w:id="1" w:name="_Toc363573853"/>
      <w:bookmarkStart w:id="2" w:name="_Toc8358_WPSOffice_Level1"/>
      <w:bookmarkStart w:id="3" w:name="_Toc2987_WPSOffice_Level1"/>
      <w:bookmarkStart w:id="4" w:name="_Toc18114"/>
      <w:r>
        <w:rPr>
          <w:rFonts w:hint="eastAsia" w:asciiTheme="minorEastAsia" w:hAnsiTheme="minorEastAsia" w:eastAsiaTheme="minorEastAsia" w:cstheme="minorEastAsia"/>
          <w:b/>
          <w:w w:val="80"/>
          <w:sz w:val="24"/>
          <w:szCs w:val="24"/>
        </w:rPr>
        <w:t xml:space="preserve">第一章  </w:t>
      </w:r>
      <w:bookmarkEnd w:id="1"/>
      <w:r>
        <w:rPr>
          <w:rFonts w:hint="eastAsia" w:asciiTheme="minorEastAsia" w:hAnsiTheme="minorEastAsia" w:eastAsiaTheme="minorEastAsia" w:cstheme="minorEastAsia"/>
          <w:b/>
          <w:w w:val="80"/>
          <w:sz w:val="24"/>
          <w:szCs w:val="24"/>
        </w:rPr>
        <w:t>竞争性磋商公告</w:t>
      </w:r>
      <w:bookmarkEnd w:id="2"/>
      <w:bookmarkEnd w:id="3"/>
      <w:bookmarkEnd w:id="4"/>
    </w:p>
    <w:p w14:paraId="7C27F346">
      <w:pPr>
        <w:widowControl/>
        <w:snapToGrid w:val="0"/>
        <w:ind w:firstLine="480" w:firstLineChars="200"/>
        <w:jc w:val="left"/>
        <w:rPr>
          <w:rFonts w:asciiTheme="minorEastAsia" w:hAnsiTheme="minorEastAsia" w:eastAsiaTheme="minorEastAsia" w:cstheme="minorEastAsia"/>
          <w:sz w:val="24"/>
          <w:szCs w:val="24"/>
        </w:rPr>
      </w:pPr>
      <w:r>
        <w:rPr>
          <w:rFonts w:hint="eastAsia" w:ascii="宋体" w:hAnsi="宋体" w:eastAsia="宋体" w:cs="宋体"/>
          <w:sz w:val="24"/>
          <w:szCs w:val="24"/>
        </w:rPr>
        <w:t>南通师范高等专科学校主校区食堂改造项目业主为南通师范高等专科学校，建设资金来自餐饮公司投入，项目出资比例为100%。</w:t>
      </w:r>
      <w:r>
        <w:rPr>
          <w:rFonts w:hint="eastAsia" w:asciiTheme="minorEastAsia" w:hAnsiTheme="minorEastAsia" w:eastAsiaTheme="minorEastAsia" w:cstheme="minorEastAsia"/>
          <w:sz w:val="24"/>
          <w:szCs w:val="24"/>
        </w:rPr>
        <w:t>江苏东方华星工程造价咨询有限公司（以下称代理招标机构）受苏州工业园区科桥餐饮服务有限公司、常州百味餐饮管理有限公司（以下称采购人）的委托，就南通师范高等专科学校主校区食堂改造项目设计组织竞争性磋商采购，诚邀符合资格条件的潜在供应商参加磋商响应。</w:t>
      </w:r>
    </w:p>
    <w:p w14:paraId="3A73937B">
      <w:pPr>
        <w:widowControl/>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一、项目名称：南通师范高等专科学校主校区食堂改造项目设计</w:t>
      </w:r>
    </w:p>
    <w:p w14:paraId="2E29EA22">
      <w:pPr>
        <w:widowControl/>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二、项目规模：学生食堂（一楼、二楼）就餐区及后厨改造设计。本工程设计费最高限价为61965元，最终报价超过最高限价的为无效投标文件（</w:t>
      </w:r>
      <w:r>
        <w:fldChar w:fldCharType="begin"/>
      </w:r>
      <w:r>
        <w:instrText xml:space="preserve"> HYPERLINK "http://www.gcbbx.com/all200210.aspx" \t "http://www.gcbbx.com/_blank" </w:instrText>
      </w:r>
      <w:r>
        <w:fldChar w:fldCharType="separate"/>
      </w:r>
      <w:r>
        <w:rPr>
          <w:rFonts w:hint="eastAsia" w:asciiTheme="minorEastAsia" w:hAnsiTheme="minorEastAsia" w:eastAsiaTheme="minorEastAsia" w:cstheme="minorEastAsia"/>
          <w:sz w:val="24"/>
          <w:szCs w:val="24"/>
        </w:rPr>
        <w:t>计算依据：按国家计委、建设部关于发布《工程勘察设计收费管理规定》的通知（计价格[2002]10号）</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下浮20%）。</w:t>
      </w:r>
    </w:p>
    <w:p w14:paraId="7C4F633A">
      <w:pPr>
        <w:widowControl/>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三、设计范围：</w:t>
      </w:r>
      <w:bookmarkStart w:id="5" w:name="_Hlk37421632"/>
      <w:r>
        <w:rPr>
          <w:rFonts w:hint="eastAsia" w:asciiTheme="minorEastAsia" w:hAnsiTheme="minorEastAsia" w:eastAsiaTheme="minorEastAsia" w:cstheme="minorEastAsia"/>
          <w:sz w:val="24"/>
          <w:szCs w:val="24"/>
        </w:rPr>
        <w:t>工程设计内容包括方案设计（含效果图）、施工图设计、项目概算及施工期间的设计交底、技术咨询、竣工验收等所有配套服务。</w:t>
      </w:r>
      <w:bookmarkEnd w:id="5"/>
    </w:p>
    <w:p w14:paraId="4E394555">
      <w:pPr>
        <w:widowControl/>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四、设计周期要求：合同签订后7个日历天内提交施工设计图。</w:t>
      </w:r>
    </w:p>
    <w:p w14:paraId="223558A1">
      <w:pPr>
        <w:widowControl/>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五、设计质量标准：</w:t>
      </w:r>
      <w:bookmarkStart w:id="6" w:name="_Hlk37421611"/>
      <w:r>
        <w:rPr>
          <w:rFonts w:hint="eastAsia" w:asciiTheme="minorEastAsia" w:hAnsiTheme="minorEastAsia" w:eastAsiaTheme="minorEastAsia" w:cstheme="minorEastAsia"/>
          <w:sz w:val="24"/>
          <w:szCs w:val="24"/>
        </w:rPr>
        <w:t>设计成果须经采购人书面认可。</w:t>
      </w:r>
      <w:bookmarkEnd w:id="6"/>
    </w:p>
    <w:p w14:paraId="63DF4EEB">
      <w:pPr>
        <w:widowControl/>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六、供应商资格：</w:t>
      </w:r>
    </w:p>
    <w:p w14:paraId="1220C856">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zh-CN"/>
        </w:rPr>
        <w:t>具备独立法人资格，</w:t>
      </w:r>
      <w:r>
        <w:rPr>
          <w:rFonts w:hint="eastAsia" w:asciiTheme="minorEastAsia" w:hAnsiTheme="minorEastAsia" w:eastAsiaTheme="minorEastAsia" w:cstheme="minorEastAsia"/>
          <w:sz w:val="24"/>
          <w:szCs w:val="24"/>
        </w:rPr>
        <w:t>经营范围包含本项目招标内容；</w:t>
      </w:r>
    </w:p>
    <w:p w14:paraId="3C86C7B8">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独立承担民事责任的能力、良好的商业信誉和健全的财务会计制度、具有履行合同所必需的设备产品和专业技术能力、有依法缴纳税收和社会保障资金的良好记录，参加政府活动前三年内，在经营活动中没有重大违纪记录；</w:t>
      </w:r>
    </w:p>
    <w:p w14:paraId="07FBD6C7">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3.资质条件：具有独立法人资格，具备工程设计建筑行业丙级以上（含丙级）资质或工程设计专业类建筑（建筑工程）丙级以上（含丙级）资质；</w:t>
      </w:r>
    </w:p>
    <w:p w14:paraId="7F7AC1E3">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4.项目设计负责人必须具备国家二级及以上注册建筑师或相应专业设计类工程师资格。</w:t>
      </w:r>
    </w:p>
    <w:p w14:paraId="7F6B011F">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5.落实政府采购政策需满足的资格要求：如属中小微企业、监狱企业、残疾人福利性单位等。</w:t>
      </w:r>
    </w:p>
    <w:p w14:paraId="0409E118">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未被“信用中国（www.creditchina.gov.cn）”、“中国政府采购网（http://www.ccgp.gov.cn/）”、“信用江苏（http://www.jscredit.cn）”网站列入失信被执行人或重大税收违法案件当事人名单或政府采购严重失信行为记录名单。</w:t>
      </w:r>
    </w:p>
    <w:p w14:paraId="16240579">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7.法律、法规规定的其他条件。</w:t>
      </w:r>
    </w:p>
    <w:p w14:paraId="0BDD666E">
      <w:pPr>
        <w:pStyle w:val="2"/>
        <w:snapToGrid w:val="0"/>
        <w:spacing w:line="24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shd w:val="clear" w:color="auto" w:fill="FFFFFF"/>
        </w:rPr>
        <w:t>本次</w:t>
      </w:r>
      <w:r>
        <w:rPr>
          <w:rFonts w:hint="eastAsia" w:asciiTheme="minorEastAsia" w:hAnsiTheme="minorEastAsia" w:eastAsiaTheme="minorEastAsia" w:cstheme="minorEastAsia"/>
          <w:sz w:val="24"/>
          <w:szCs w:val="24"/>
        </w:rPr>
        <w:t>磋商</w:t>
      </w:r>
      <w:r>
        <w:rPr>
          <w:rFonts w:hint="eastAsia" w:asciiTheme="minorEastAsia" w:hAnsiTheme="minorEastAsia" w:eastAsiaTheme="minorEastAsia" w:cstheme="minorEastAsia"/>
          <w:sz w:val="24"/>
          <w:szCs w:val="24"/>
          <w:shd w:val="clear" w:color="auto" w:fill="FFFFFF"/>
        </w:rPr>
        <w:t>不接受联合体投标。</w:t>
      </w:r>
    </w:p>
    <w:p w14:paraId="30A41636">
      <w:pPr>
        <w:numPr>
          <w:ilvl w:val="0"/>
          <w:numId w:val="1"/>
        </w:numPr>
        <w:snapToGrid w:val="0"/>
        <w:ind w:firstLine="480" w:firstLineChars="200"/>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有意愿参与本项目磋商响应的单位，请于本公告发布日起至6月14日下午5:00前到江苏东方华星工程造价咨询有限公司（南通市港闸区北大街108号金域商业中心1幢1908室）报名咨询。本次公告在南通师范高等专科学校官网、南通教育网发布。</w:t>
      </w:r>
    </w:p>
    <w:p w14:paraId="1D61C7F6">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八、磋商响应文件接收截止及磋商评审的时间为：2020年6月15日下午14:30分，地址：南通师范高等专科学校时孙楼306会议室，如有变动另行通知。</w:t>
      </w:r>
    </w:p>
    <w:p w14:paraId="2EA3D990">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九、采购文件资料费每套售价200.00元，由代理机构在接收报名材料时收取。无论供应商是否中标，资料费概不退还。</w:t>
      </w:r>
    </w:p>
    <w:p w14:paraId="2EED6B9B">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十、本次</w:t>
      </w:r>
      <w:r>
        <w:rPr>
          <w:rFonts w:hint="eastAsia" w:asciiTheme="minorEastAsia" w:hAnsiTheme="minorEastAsia" w:eastAsiaTheme="minorEastAsia" w:cstheme="minorEastAsia"/>
          <w:sz w:val="24"/>
          <w:szCs w:val="24"/>
          <w:shd w:val="clear" w:color="auto" w:fill="FFFFFF"/>
        </w:rPr>
        <w:t>磋商采用资格后审方式进行资格审查，</w:t>
      </w:r>
      <w:r>
        <w:rPr>
          <w:rFonts w:hint="eastAsia" w:asciiTheme="minorEastAsia" w:hAnsiTheme="minorEastAsia" w:eastAsiaTheme="minorEastAsia" w:cstheme="minorEastAsia"/>
          <w:sz w:val="24"/>
          <w:szCs w:val="24"/>
        </w:rPr>
        <w:t>磋商小组将对供应商的资格进行审查，审查通过方可参与磋商。</w:t>
      </w:r>
    </w:p>
    <w:p w14:paraId="7A109142">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十一、投标保证金：本项目供应商须交纳投标保证金人民币壹仟元整  （¥1000元）。</w:t>
      </w:r>
    </w:p>
    <w:p w14:paraId="0F02CE74">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十二、其他补充事宜</w:t>
      </w:r>
    </w:p>
    <w:p w14:paraId="0C4B3B3C">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请投标人连续关注相关网站可能发布的补充和答疑文件等信息。如没有及时获悉相关变化而引起的后果由供应商自负。</w:t>
      </w:r>
    </w:p>
    <w:p w14:paraId="00113C3B">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十三、磋商响应联系方式</w:t>
      </w:r>
    </w:p>
    <w:p w14:paraId="142DCCDC">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1.采购人：苏州工业园区科桥餐饮服务有限公司、常州百味餐饮管理有限公司</w:t>
      </w:r>
    </w:p>
    <w:p w14:paraId="55808F5D">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项目地址：南通市开发区育贤路2号</w:t>
      </w:r>
    </w:p>
    <w:p w14:paraId="3A27C1DE">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联系人：陶经理、石经理</w:t>
      </w:r>
    </w:p>
    <w:p w14:paraId="55374993">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 13776007526、18761675391</w:t>
      </w:r>
    </w:p>
    <w:p w14:paraId="4E5AEA43">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2.业主方：南通师范高等专科学校</w:t>
      </w:r>
    </w:p>
    <w:p w14:paraId="2C0F42C2">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地址：南通市经济开发区育贤路2号</w:t>
      </w:r>
    </w:p>
    <w:p w14:paraId="236EE4FF">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联系人：张老师，电话：18061806899</w:t>
      </w:r>
    </w:p>
    <w:p w14:paraId="311235BF">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3.采购代理机构：江苏东方华星工程造价咨询有限公司</w:t>
      </w:r>
    </w:p>
    <w:p w14:paraId="4FAF7E18">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地址：南通市港闸区北大街108号金域商业中心1幢1908室</w:t>
      </w:r>
    </w:p>
    <w:p w14:paraId="7E721A64">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联系人：康工</w:t>
      </w:r>
    </w:p>
    <w:p w14:paraId="721D991F">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电话：0513-89000706、18106295190</w:t>
      </w:r>
    </w:p>
    <w:p w14:paraId="1396F2FD">
      <w:pPr>
        <w:pStyle w:val="2"/>
        <w:snapToGrid w:val="0"/>
        <w:spacing w:line="240" w:lineRule="auto"/>
        <w:ind w:firstLine="480"/>
        <w:rPr>
          <w:sz w:val="24"/>
          <w:szCs w:val="24"/>
        </w:rPr>
      </w:pPr>
    </w:p>
    <w:p w14:paraId="1A6342FA">
      <w:pPr>
        <w:snapToGrid w:val="0"/>
        <w:ind w:firstLine="480" w:firstLineChars="2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江苏东方华星工程造价咨询有限公司</w:t>
      </w:r>
    </w:p>
    <w:p w14:paraId="6181089E">
      <w:pPr>
        <w:snapToGrid w:val="0"/>
        <w:ind w:firstLine="4560" w:firstLineChars="19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2020年6月5日</w:t>
      </w:r>
    </w:p>
    <w:p w14:paraId="6CE7FBA7">
      <w:pPr>
        <w:snapToGrid w:val="0"/>
        <w:ind w:firstLine="480" w:firstLineChars="200"/>
        <w:jc w:val="right"/>
        <w:rPr>
          <w:rFonts w:asciiTheme="minorEastAsia" w:hAnsiTheme="minorEastAsia" w:eastAsiaTheme="minorEastAsia" w:cstheme="minorEastAsia"/>
          <w:sz w:val="24"/>
          <w:szCs w:val="24"/>
        </w:rPr>
        <w:sectPr>
          <w:footerReference r:id="rId3" w:type="default"/>
          <w:pgSz w:w="11906" w:h="16838"/>
          <w:pgMar w:top="1440" w:right="1800" w:bottom="1440" w:left="1800" w:header="851" w:footer="992" w:gutter="0"/>
          <w:pgNumType w:start="1"/>
          <w:cols w:space="425" w:num="1"/>
          <w:docGrid w:type="lines" w:linePitch="312" w:charSpace="0"/>
        </w:sectPr>
      </w:pPr>
    </w:p>
    <w:p w14:paraId="70A98C77">
      <w:pPr>
        <w:tabs>
          <w:tab w:val="left" w:pos="1050"/>
          <w:tab w:val="right" w:leader="dot" w:pos="9402"/>
        </w:tabs>
        <w:snapToGrid w:val="0"/>
        <w:spacing w:beforeLines="100"/>
        <w:jc w:val="center"/>
        <w:outlineLvl w:val="0"/>
        <w:rPr>
          <w:rFonts w:asciiTheme="minorEastAsia" w:hAnsiTheme="minorEastAsia" w:eastAsiaTheme="minorEastAsia" w:cstheme="minorEastAsia"/>
          <w:b/>
          <w:w w:val="80"/>
          <w:sz w:val="24"/>
          <w:szCs w:val="24"/>
        </w:rPr>
      </w:pPr>
      <w:bookmarkStart w:id="7" w:name="_Toc25566"/>
      <w:bookmarkStart w:id="8" w:name="_Toc15351_WPSOffice_Level1"/>
      <w:bookmarkStart w:id="9" w:name="_Toc18816_WPSOffice_Level1"/>
      <w:r>
        <w:rPr>
          <w:rFonts w:hint="eastAsia" w:asciiTheme="minorEastAsia" w:hAnsiTheme="minorEastAsia" w:eastAsiaTheme="minorEastAsia" w:cstheme="minorEastAsia"/>
          <w:b/>
          <w:w w:val="80"/>
          <w:sz w:val="24"/>
          <w:szCs w:val="24"/>
        </w:rPr>
        <w:t>第二章  供应商须知</w:t>
      </w:r>
      <w:bookmarkEnd w:id="7"/>
      <w:bookmarkEnd w:id="8"/>
      <w:bookmarkEnd w:id="9"/>
    </w:p>
    <w:p w14:paraId="2E5E3615">
      <w:pPr>
        <w:snapToGrid w:val="0"/>
        <w:ind w:firstLine="470" w:firstLineChars="196"/>
        <w:rPr>
          <w:rFonts w:ascii="黑体" w:hAnsi="黑体" w:eastAsia="黑体"/>
          <w:sz w:val="24"/>
          <w:szCs w:val="24"/>
        </w:rPr>
      </w:pPr>
      <w:r>
        <w:rPr>
          <w:rFonts w:hint="eastAsia" w:ascii="黑体" w:hAnsi="黑体" w:eastAsia="黑体"/>
          <w:sz w:val="24"/>
          <w:szCs w:val="24"/>
        </w:rPr>
        <w:t>一、参加磋商费用</w:t>
      </w:r>
    </w:p>
    <w:p w14:paraId="7914AA7F">
      <w:pPr>
        <w:tabs>
          <w:tab w:val="left" w:pos="900"/>
        </w:tabs>
        <w:snapToGrid w:val="0"/>
        <w:spacing w:afterLines="50"/>
        <w:ind w:firstLine="480" w:firstLineChars="200"/>
        <w:rPr>
          <w:rFonts w:ascii="仿宋" w:hAnsi="仿宋" w:eastAsia="仿宋"/>
          <w:sz w:val="24"/>
          <w:szCs w:val="24"/>
        </w:rPr>
      </w:pPr>
      <w:r>
        <w:rPr>
          <w:rFonts w:hint="eastAsia" w:ascii="仿宋" w:hAnsi="仿宋" w:eastAsia="仿宋"/>
          <w:sz w:val="24"/>
          <w:szCs w:val="24"/>
        </w:rPr>
        <w:t>参加磋商供应商应自行承担所有与参加磋商有关的费用。不论最终的成交结果如何，采购人或者代理机构在任何情况下均无义务和责任承担这些费用。</w:t>
      </w:r>
    </w:p>
    <w:p w14:paraId="46222CCA">
      <w:pPr>
        <w:tabs>
          <w:tab w:val="left" w:pos="900"/>
        </w:tabs>
        <w:snapToGrid w:val="0"/>
        <w:spacing w:afterLines="50"/>
        <w:ind w:firstLine="477" w:firstLineChars="199"/>
        <w:rPr>
          <w:rFonts w:ascii="黑体" w:hAnsi="黑体" w:eastAsia="黑体"/>
          <w:sz w:val="24"/>
          <w:szCs w:val="24"/>
        </w:rPr>
      </w:pPr>
      <w:r>
        <w:rPr>
          <w:rFonts w:hint="eastAsia" w:ascii="黑体" w:hAnsi="黑体" w:eastAsia="黑体"/>
          <w:sz w:val="24"/>
          <w:szCs w:val="24"/>
        </w:rPr>
        <w:t>二、磋商文件的约束力</w:t>
      </w:r>
    </w:p>
    <w:p w14:paraId="5987F33D">
      <w:pPr>
        <w:tabs>
          <w:tab w:val="left" w:pos="900"/>
        </w:tabs>
        <w:snapToGrid w:val="0"/>
        <w:ind w:left="148" w:leftChars="57" w:firstLine="477" w:firstLineChars="199"/>
        <w:rPr>
          <w:rFonts w:ascii="仿宋" w:hAnsi="仿宋" w:eastAsia="仿宋"/>
          <w:sz w:val="24"/>
          <w:szCs w:val="24"/>
        </w:rPr>
      </w:pPr>
      <w:r>
        <w:rPr>
          <w:rFonts w:hint="eastAsia" w:ascii="仿宋" w:hAnsi="仿宋" w:eastAsia="仿宋"/>
          <w:sz w:val="24"/>
          <w:szCs w:val="24"/>
        </w:rPr>
        <w:t>1.供应商一旦下载了本磋商文件并决定参加磋商，即被认为接受了本磋商文件的规定和约束，并且视为已经知道或应当知道自身权益是否受到了损害。</w:t>
      </w:r>
    </w:p>
    <w:p w14:paraId="56724ABF">
      <w:pPr>
        <w:tabs>
          <w:tab w:val="left" w:pos="900"/>
        </w:tabs>
        <w:snapToGrid w:val="0"/>
        <w:ind w:firstLine="597" w:firstLineChars="249"/>
        <w:rPr>
          <w:rFonts w:ascii="仿宋" w:hAnsi="仿宋" w:eastAsia="仿宋"/>
          <w:sz w:val="24"/>
          <w:szCs w:val="24"/>
        </w:rPr>
      </w:pPr>
      <w:bookmarkStart w:id="10" w:name="_Toc462564070"/>
      <w:bookmarkStart w:id="11" w:name="_Toc20823283"/>
      <w:bookmarkStart w:id="12" w:name="_Toc513029211"/>
      <w:bookmarkStart w:id="13" w:name="_Toc16938527"/>
      <w:r>
        <w:rPr>
          <w:rFonts w:hint="eastAsia" w:ascii="仿宋" w:hAnsi="仿宋" w:eastAsia="仿宋"/>
          <w:sz w:val="24"/>
          <w:szCs w:val="24"/>
        </w:rPr>
        <w:t>2.</w:t>
      </w:r>
      <w:bookmarkEnd w:id="10"/>
      <w:bookmarkEnd w:id="11"/>
      <w:bookmarkEnd w:id="12"/>
      <w:bookmarkEnd w:id="13"/>
      <w:r>
        <w:rPr>
          <w:rFonts w:hint="eastAsia" w:ascii="仿宋" w:hAnsi="仿宋" w:eastAsia="仿宋"/>
          <w:sz w:val="24"/>
          <w:szCs w:val="24"/>
        </w:rPr>
        <w:t>任何要求对磋商文件进行澄清的供应商，均应在提交首次响应文件截止时间3个工作日前按照竞争性磋商公告中的通讯地址，以书面形式通知采购人或者代理机构。</w:t>
      </w:r>
    </w:p>
    <w:p w14:paraId="55B094D3">
      <w:pPr>
        <w:tabs>
          <w:tab w:val="left" w:pos="900"/>
        </w:tabs>
        <w:snapToGrid w:val="0"/>
        <w:ind w:firstLine="597" w:firstLineChars="249"/>
        <w:rPr>
          <w:rFonts w:ascii="仿宋" w:hAnsi="仿宋" w:eastAsia="仿宋"/>
          <w:sz w:val="24"/>
          <w:szCs w:val="24"/>
        </w:rPr>
      </w:pPr>
      <w:r>
        <w:rPr>
          <w:rFonts w:hint="eastAsia" w:ascii="仿宋" w:hAnsi="仿宋" w:eastAsia="仿宋"/>
          <w:sz w:val="24"/>
          <w:szCs w:val="24"/>
        </w:rPr>
        <w:t>3.提交首次响应文件截止之日前，采购人或者代理机构可以对已发出的磋商文件进行必要的澄清或者修改，澄清或者修改的内容作为磋商文件的组成部分。</w:t>
      </w:r>
    </w:p>
    <w:p w14:paraId="11B1EF4A">
      <w:pPr>
        <w:tabs>
          <w:tab w:val="left" w:pos="900"/>
        </w:tabs>
        <w:snapToGrid w:val="0"/>
        <w:ind w:firstLine="597" w:firstLineChars="249"/>
        <w:rPr>
          <w:rFonts w:ascii="仿宋" w:hAnsi="仿宋" w:eastAsia="仿宋"/>
          <w:sz w:val="24"/>
          <w:szCs w:val="24"/>
        </w:rPr>
      </w:pPr>
      <w:r>
        <w:rPr>
          <w:rFonts w:hint="eastAsia" w:ascii="仿宋" w:hAnsi="仿宋" w:eastAsia="仿宋"/>
          <w:sz w:val="24"/>
          <w:szCs w:val="24"/>
        </w:rPr>
        <w:t>4.澄清或者修改的内容可能影响响应文件编制的，采购人或者代理机构将在提交首次响应文件截止时间至少3个工作日前，在“南通师范高等专科学校官网”、“南通教育网”上发布书面更正公告形式通知所有获取磋商文件的供应商。不足3个工作日的，采购人或者代理机构应当顺延提交首次响应文件截止时间。</w:t>
      </w:r>
    </w:p>
    <w:p w14:paraId="74A4BB5B">
      <w:pPr>
        <w:snapToGrid w:val="0"/>
        <w:ind w:firstLine="350" w:firstLineChars="146"/>
        <w:rPr>
          <w:rFonts w:ascii="黑体" w:hAnsi="黑体" w:eastAsia="黑体"/>
          <w:sz w:val="24"/>
          <w:szCs w:val="24"/>
        </w:rPr>
      </w:pPr>
      <w:bookmarkStart w:id="14" w:name="_Hlt26668969"/>
      <w:bookmarkEnd w:id="14"/>
      <w:bookmarkStart w:id="15" w:name="_Hlt26670348"/>
      <w:bookmarkEnd w:id="15"/>
      <w:bookmarkStart w:id="16" w:name="_Hlt26670345"/>
      <w:bookmarkEnd w:id="16"/>
      <w:bookmarkStart w:id="17" w:name="_Hlt26954832"/>
      <w:bookmarkEnd w:id="17"/>
      <w:bookmarkStart w:id="18" w:name="_Hlt26954830"/>
      <w:bookmarkEnd w:id="18"/>
      <w:bookmarkStart w:id="19" w:name="_Hlt26670354"/>
      <w:bookmarkEnd w:id="19"/>
      <w:bookmarkStart w:id="20" w:name="_Hlt26954828"/>
      <w:bookmarkEnd w:id="20"/>
      <w:r>
        <w:rPr>
          <w:rFonts w:hint="eastAsia" w:ascii="黑体" w:hAnsi="黑体" w:eastAsia="黑体"/>
          <w:sz w:val="24"/>
          <w:szCs w:val="24"/>
        </w:rPr>
        <w:t>三、磋商响应文件的编制和递交</w:t>
      </w:r>
    </w:p>
    <w:p w14:paraId="77B9BE57">
      <w:pPr>
        <w:snapToGrid w:val="0"/>
        <w:ind w:firstLine="480" w:firstLineChars="200"/>
        <w:rPr>
          <w:rFonts w:ascii="仿宋" w:hAnsi="仿宋" w:eastAsia="仿宋"/>
          <w:sz w:val="24"/>
          <w:szCs w:val="24"/>
        </w:rPr>
      </w:pPr>
      <w:r>
        <w:rPr>
          <w:rFonts w:hint="eastAsia" w:ascii="仿宋" w:hAnsi="仿宋" w:eastAsia="仿宋"/>
          <w:sz w:val="24"/>
          <w:szCs w:val="24"/>
        </w:rPr>
        <w:t>1.参加磋商供应商应严格按照竞争性磋商采购公告要求准备磋商响应文件，磋商响应文件应对磋商文件的要求作出实质性响应，并保证其磋商响应文件中所提供的全部资料的真实性。每份响应文件须清楚地标明“正本”或“副本”字样。提供磋商响应文件正本一份、副本两份。供应商可将响应文件正副本统一密封或分别密封，如正本和副本分别密封的，应在封袋上标明正、副本字样。</w:t>
      </w:r>
    </w:p>
    <w:p w14:paraId="311E1A8C">
      <w:pPr>
        <w:snapToGrid w:val="0"/>
        <w:ind w:firstLine="480" w:firstLineChars="200"/>
        <w:rPr>
          <w:rFonts w:ascii="仿宋" w:hAnsi="仿宋" w:eastAsia="仿宋"/>
          <w:sz w:val="24"/>
          <w:szCs w:val="24"/>
        </w:rPr>
      </w:pPr>
      <w:r>
        <w:rPr>
          <w:rFonts w:hint="eastAsia" w:ascii="仿宋" w:hAnsi="仿宋" w:eastAsia="仿宋"/>
          <w:sz w:val="24"/>
          <w:szCs w:val="24"/>
        </w:rPr>
        <w:t xml:space="preserve"> 2.响应文件的正本和所有的副本均需打印或复印。响应文件正本中，除磋商文件规定的可提交复印件外，其他文件均须提交原件，文字材料需打印或用不褪色墨水书写，响应文件正本封面须经法定代表人或授权代表签字和加盖磋商供应商公章；磋商文件内容中要求响应文件正本签字或者盖章的地方（如：法定代表人授权书等）须签字盖章。本磋商文件所表述（指定）的公章是指刻有供应商法定名称的印章，不包括合同、财务、税务、发票等形式的业务专用章。</w:t>
      </w:r>
    </w:p>
    <w:p w14:paraId="19D5CAB2">
      <w:pPr>
        <w:snapToGrid w:val="0"/>
        <w:ind w:firstLine="480" w:firstLineChars="200"/>
        <w:rPr>
          <w:rFonts w:ascii="仿宋" w:hAnsi="仿宋" w:eastAsia="仿宋"/>
          <w:sz w:val="24"/>
          <w:szCs w:val="24"/>
        </w:rPr>
      </w:pPr>
      <w:r>
        <w:rPr>
          <w:rFonts w:hint="eastAsia" w:ascii="仿宋" w:hAnsi="仿宋" w:eastAsia="仿宋"/>
          <w:sz w:val="24"/>
          <w:szCs w:val="24"/>
        </w:rPr>
        <w:t xml:space="preserve"> 3.除磋商供应商对错处做必要修改外，磋商响应文件不得行间插字、涂改或增删。如有修改错漏处，必须由响应文件签署人签字或盖章。</w:t>
      </w:r>
    </w:p>
    <w:p w14:paraId="741A9B52">
      <w:pPr>
        <w:snapToGrid w:val="0"/>
        <w:ind w:firstLine="480" w:firstLineChars="200"/>
        <w:rPr>
          <w:rFonts w:ascii="仿宋" w:hAnsi="仿宋" w:eastAsia="仿宋"/>
          <w:sz w:val="24"/>
          <w:szCs w:val="24"/>
        </w:rPr>
      </w:pPr>
      <w:r>
        <w:rPr>
          <w:rFonts w:hint="eastAsia" w:ascii="仿宋" w:hAnsi="仿宋" w:eastAsia="仿宋"/>
          <w:sz w:val="24"/>
          <w:szCs w:val="24"/>
        </w:rPr>
        <w:t xml:space="preserve"> 4.磋商供应商提交的响应文件以及磋商供应商与采购人或者代理机构就有关磋商的所有来往函电均应使用简体中文。磋商文件中既有中文也有外文的，以中文意义为准。</w:t>
      </w:r>
    </w:p>
    <w:p w14:paraId="23E56CC2">
      <w:pPr>
        <w:snapToGrid w:val="0"/>
        <w:ind w:firstLine="480" w:firstLineChars="200"/>
        <w:rPr>
          <w:rFonts w:ascii="仿宋" w:hAnsi="仿宋" w:eastAsia="仿宋"/>
          <w:sz w:val="24"/>
          <w:szCs w:val="24"/>
        </w:rPr>
      </w:pPr>
      <w:r>
        <w:rPr>
          <w:rFonts w:hint="eastAsia" w:ascii="仿宋" w:hAnsi="仿宋" w:eastAsia="仿宋"/>
          <w:sz w:val="24"/>
          <w:szCs w:val="24"/>
        </w:rPr>
        <w:t xml:space="preserve"> 5.除技术性能另有规定外，响应文件所使用的度量衡单位，均须采用国家法定计量单位。</w:t>
      </w:r>
    </w:p>
    <w:p w14:paraId="6EA0476A">
      <w:pPr>
        <w:snapToGrid w:val="0"/>
        <w:ind w:firstLine="480" w:firstLineChars="200"/>
        <w:rPr>
          <w:rFonts w:ascii="仿宋" w:hAnsi="仿宋" w:eastAsia="仿宋"/>
          <w:sz w:val="24"/>
          <w:szCs w:val="24"/>
        </w:rPr>
      </w:pPr>
      <w:r>
        <w:rPr>
          <w:rFonts w:hint="eastAsia" w:ascii="仿宋" w:hAnsi="仿宋" w:eastAsia="仿宋"/>
          <w:sz w:val="24"/>
          <w:szCs w:val="24"/>
        </w:rPr>
        <w:t xml:space="preserve"> 6.磋商文件规定的相关要求，如果磋商响应供应商在磋商响应文件中没有以书面方式提出不符合的说明，则视为磋商响应供应商能够完全理解并满足磋商文件要求。对有不符合磋商文件技术、商务要求的，不管是多么微小，磋商响应供应商都应在《技术规格偏离表》中如实详细说明，磋商响应供应商在成交后才提出或被采购人发现磋商响应供应商有不符合磋商文件要求的均按虚假应标处理，拒绝其磋商或取消成交结果，其虚假应标行为上报监督管理部门，按《政府采购法》及相关法律法规规定处罚，其磋商保证金不予退还。</w:t>
      </w:r>
    </w:p>
    <w:p w14:paraId="2825AC0A">
      <w:pPr>
        <w:snapToGrid w:val="0"/>
        <w:ind w:firstLine="480" w:firstLineChars="200"/>
        <w:rPr>
          <w:rFonts w:ascii="仿宋" w:hAnsi="仿宋" w:eastAsia="仿宋"/>
          <w:sz w:val="24"/>
          <w:szCs w:val="24"/>
        </w:rPr>
      </w:pPr>
      <w:r>
        <w:rPr>
          <w:rFonts w:hint="eastAsia" w:ascii="仿宋" w:hAnsi="仿宋" w:eastAsia="仿宋"/>
          <w:sz w:val="24"/>
          <w:szCs w:val="24"/>
        </w:rPr>
        <w:t xml:space="preserve"> 7.如果磋商小组发现磋商响应供应商为谋取成交恶意篡改《技术规格偏离表》中磋商文件要求的或磋商产品响应栏中应答的技术指标与其提供的佐证材料明显不符的（特别是磋商技术要求中涉及具体数值要求的指标，磋商响应供应商应答的具体数值与磋商响应供应商提供的佐证材料不一致的，可视为磋商响应供应商为谋取成交而恶意篡改所投产品技术指标），磋商小组可视为虚假应标而拒绝其磋商，其虚假应标行为上报监督管理部门，按《政府采购法》及相关法律法规规定处罚，其磋商保证金不予退还。</w:t>
      </w:r>
    </w:p>
    <w:p w14:paraId="23EEFA36">
      <w:pPr>
        <w:snapToGrid w:val="0"/>
        <w:ind w:firstLine="480" w:firstLineChars="200"/>
        <w:rPr>
          <w:rFonts w:ascii="仿宋" w:hAnsi="仿宋" w:eastAsia="仿宋"/>
          <w:sz w:val="24"/>
          <w:szCs w:val="24"/>
        </w:rPr>
      </w:pPr>
      <w:r>
        <w:rPr>
          <w:rFonts w:hint="eastAsia" w:ascii="仿宋" w:hAnsi="仿宋" w:eastAsia="仿宋"/>
          <w:sz w:val="24"/>
          <w:szCs w:val="24"/>
        </w:rPr>
        <w:t>8.磋商响应文件由</w:t>
      </w:r>
      <w:bookmarkStart w:id="21" w:name="_Toc61149559"/>
      <w:bookmarkStart w:id="22" w:name="_Toc513029221"/>
      <w:bookmarkStart w:id="23" w:name="_Toc14577359"/>
      <w:r>
        <w:rPr>
          <w:rFonts w:hint="eastAsia" w:ascii="仿宋" w:hAnsi="仿宋" w:eastAsia="仿宋"/>
          <w:sz w:val="24"/>
          <w:szCs w:val="24"/>
        </w:rPr>
        <w:t>①资格证明材料②商务技术响应材料和③价格响应材料三部分组成，部分格式详见本文件第六章。</w:t>
      </w:r>
    </w:p>
    <w:p w14:paraId="3D7410B4">
      <w:pPr>
        <w:snapToGrid w:val="0"/>
        <w:ind w:firstLine="480" w:firstLineChars="200"/>
        <w:rPr>
          <w:rFonts w:ascii="仿宋" w:hAnsi="仿宋" w:eastAsia="仿宋"/>
          <w:sz w:val="24"/>
          <w:szCs w:val="24"/>
        </w:rPr>
      </w:pPr>
      <w:r>
        <w:rPr>
          <w:rFonts w:hint="eastAsia" w:ascii="仿宋" w:hAnsi="仿宋" w:eastAsia="仿宋"/>
          <w:sz w:val="24"/>
          <w:szCs w:val="24"/>
        </w:rPr>
        <w:t>响应文件的密封及标记：</w:t>
      </w:r>
    </w:p>
    <w:p w14:paraId="66EC0D07">
      <w:pPr>
        <w:snapToGrid w:val="0"/>
        <w:ind w:firstLine="480" w:firstLineChars="200"/>
        <w:rPr>
          <w:rFonts w:ascii="仿宋" w:hAnsi="仿宋" w:eastAsia="仿宋"/>
          <w:sz w:val="24"/>
          <w:szCs w:val="24"/>
        </w:rPr>
      </w:pPr>
      <w:r>
        <w:rPr>
          <w:rFonts w:hint="eastAsia" w:ascii="仿宋" w:hAnsi="仿宋" w:eastAsia="仿宋"/>
          <w:sz w:val="24"/>
          <w:szCs w:val="24"/>
        </w:rPr>
        <w:t>（1）供应商须将本项目响应文件：①、②、③单独密封。</w:t>
      </w:r>
    </w:p>
    <w:p w14:paraId="1870D802">
      <w:pPr>
        <w:snapToGrid w:val="0"/>
        <w:ind w:firstLine="480" w:firstLineChars="200"/>
        <w:rPr>
          <w:rFonts w:ascii="仿宋" w:hAnsi="仿宋" w:eastAsia="仿宋"/>
          <w:sz w:val="24"/>
          <w:szCs w:val="24"/>
        </w:rPr>
      </w:pPr>
      <w:r>
        <w:rPr>
          <w:rFonts w:hint="eastAsia" w:ascii="仿宋" w:hAnsi="仿宋" w:eastAsia="仿宋"/>
          <w:sz w:val="24"/>
          <w:szCs w:val="24"/>
        </w:rPr>
        <w:t>（2）密封后，应在每一密封的响应文件上明确标注磋商项目名称、响应文件各自对应的名称、供应商的全称及日期。</w:t>
      </w:r>
    </w:p>
    <w:p w14:paraId="1F09A9EE">
      <w:pPr>
        <w:snapToGrid w:val="0"/>
        <w:ind w:firstLine="480" w:firstLineChars="200"/>
        <w:rPr>
          <w:rFonts w:ascii="仿宋" w:hAnsi="仿宋" w:eastAsia="仿宋"/>
          <w:sz w:val="24"/>
          <w:szCs w:val="24"/>
        </w:rPr>
      </w:pPr>
      <w:r>
        <w:rPr>
          <w:rFonts w:hint="eastAsia" w:ascii="仿宋" w:hAnsi="仿宋" w:eastAsia="仿宋"/>
          <w:sz w:val="24"/>
          <w:szCs w:val="24"/>
        </w:rPr>
        <w:t>（3）在边缝处加盖供应商公章或骑缝签字。</w:t>
      </w:r>
    </w:p>
    <w:p w14:paraId="2B322E50">
      <w:pPr>
        <w:snapToGrid w:val="0"/>
        <w:ind w:firstLine="480" w:firstLineChars="200"/>
        <w:rPr>
          <w:rFonts w:ascii="仿宋" w:hAnsi="仿宋" w:eastAsia="仿宋"/>
          <w:sz w:val="24"/>
          <w:szCs w:val="24"/>
        </w:rPr>
      </w:pPr>
      <w:r>
        <w:rPr>
          <w:rFonts w:hint="eastAsia" w:ascii="仿宋" w:hAnsi="仿宋" w:eastAsia="仿宋"/>
          <w:sz w:val="24"/>
          <w:szCs w:val="24"/>
        </w:rPr>
        <w:t>【特别提醒】响应文件中的①和②的“正本”或“副本”中，均不得含有商务报价响应文件中报价表（报价单）内的任何项目价格，否则作无效投标处理。</w:t>
      </w:r>
    </w:p>
    <w:p w14:paraId="19FABF21">
      <w:pPr>
        <w:snapToGrid w:val="0"/>
        <w:ind w:firstLine="480" w:firstLineChars="200"/>
        <w:rPr>
          <w:rFonts w:ascii="仿宋" w:hAnsi="仿宋" w:eastAsia="仿宋"/>
          <w:sz w:val="24"/>
          <w:szCs w:val="24"/>
        </w:rPr>
      </w:pPr>
      <w:r>
        <w:rPr>
          <w:rFonts w:hint="eastAsia" w:ascii="仿宋" w:hAnsi="仿宋" w:eastAsia="仿宋"/>
          <w:sz w:val="24"/>
          <w:szCs w:val="24"/>
        </w:rPr>
        <w:t>9.现场可进行不少于两次磋商报价，报价不得高于密封报价，后一次报价不得高于前次报价。报价应在现场规定的时间内报出，否则报价被拒绝。现场报价应按采购文件规定要求和内容的报价。</w:t>
      </w:r>
    </w:p>
    <w:p w14:paraId="1CC91B15">
      <w:pPr>
        <w:snapToGrid w:val="0"/>
        <w:ind w:firstLine="480" w:firstLineChars="200"/>
        <w:rPr>
          <w:rFonts w:ascii="仿宋" w:hAnsi="仿宋" w:eastAsia="仿宋"/>
          <w:sz w:val="24"/>
          <w:szCs w:val="24"/>
        </w:rPr>
      </w:pPr>
      <w:r>
        <w:rPr>
          <w:rFonts w:hint="eastAsia" w:ascii="仿宋" w:hAnsi="仿宋" w:eastAsia="仿宋"/>
          <w:sz w:val="24"/>
          <w:szCs w:val="24"/>
        </w:rPr>
        <w:t>10.密封竞争性磋商响应文件应注明参加磋商项目名称、磋商文件编号。密封包装上应写明参加磋商供应商名称和地址。密封的竞争性磋商响应文件应当按照竞争性磋商公告中规定的时间和地点送达。</w:t>
      </w:r>
    </w:p>
    <w:p w14:paraId="5ABDBC88">
      <w:pPr>
        <w:snapToGrid w:val="0"/>
        <w:ind w:firstLine="480" w:firstLineChars="200"/>
        <w:rPr>
          <w:rFonts w:ascii="仿宋" w:hAnsi="仿宋" w:eastAsia="仿宋"/>
          <w:sz w:val="24"/>
          <w:szCs w:val="24"/>
        </w:rPr>
      </w:pPr>
      <w:r>
        <w:rPr>
          <w:rFonts w:hint="eastAsia" w:ascii="仿宋" w:hAnsi="仿宋" w:eastAsia="仿宋"/>
          <w:sz w:val="24"/>
          <w:szCs w:val="24"/>
        </w:rPr>
        <w:t>11.如果密封包装未按要求密封和加写标记，采购人或者代理机构对误投或过早启封概不负责。对由此造成提前开封的磋商响应文件，作无效响应处理。</w:t>
      </w:r>
    </w:p>
    <w:p w14:paraId="2BBF50E3">
      <w:pPr>
        <w:snapToGrid w:val="0"/>
        <w:ind w:firstLine="480" w:firstLineChars="200"/>
        <w:rPr>
          <w:rFonts w:ascii="仿宋" w:hAnsi="仿宋" w:eastAsia="仿宋"/>
          <w:sz w:val="24"/>
          <w:szCs w:val="24"/>
        </w:rPr>
      </w:pPr>
      <w:r>
        <w:rPr>
          <w:rFonts w:hint="eastAsia" w:ascii="仿宋" w:hAnsi="仿宋" w:eastAsia="仿宋"/>
          <w:sz w:val="24"/>
          <w:szCs w:val="24"/>
        </w:rPr>
        <w:t>12.磋商供应商在递交磋商响应文件后，可以修改或撤回其磋商响应文件，但这种修改和撤回，必须在规定的响应文件接收截止时间前，以书面形式送达指定地点。磋商供应商的修改或撤回通知书，应按本文件规定进行编制、密封、标记和发送，并应在封套上加注“修改”和“撤回”字样。</w:t>
      </w:r>
    </w:p>
    <w:p w14:paraId="2CDD63DC">
      <w:pPr>
        <w:snapToGrid w:val="0"/>
        <w:ind w:firstLine="480" w:firstLineChars="200"/>
        <w:rPr>
          <w:rFonts w:ascii="黑体" w:hAnsi="黑体" w:eastAsia="黑体"/>
          <w:sz w:val="24"/>
          <w:szCs w:val="24"/>
        </w:rPr>
      </w:pPr>
      <w:r>
        <w:rPr>
          <w:rFonts w:hint="eastAsia" w:ascii="黑体" w:hAnsi="黑体" w:eastAsia="黑体"/>
          <w:sz w:val="24"/>
          <w:szCs w:val="24"/>
        </w:rPr>
        <w:t>四、磋商保证金</w:t>
      </w:r>
      <w:bookmarkEnd w:id="21"/>
      <w:bookmarkEnd w:id="22"/>
      <w:bookmarkEnd w:id="23"/>
    </w:p>
    <w:p w14:paraId="1032DF45">
      <w:pPr>
        <w:snapToGrid w:val="0"/>
        <w:ind w:firstLine="480" w:firstLineChars="200"/>
        <w:rPr>
          <w:rFonts w:ascii="仿宋" w:hAnsi="仿宋" w:eastAsia="仿宋"/>
          <w:sz w:val="24"/>
          <w:szCs w:val="24"/>
        </w:rPr>
      </w:pPr>
      <w:r>
        <w:rPr>
          <w:rFonts w:hint="eastAsia" w:ascii="仿宋" w:hAnsi="仿宋" w:eastAsia="仿宋"/>
          <w:sz w:val="24"/>
          <w:szCs w:val="24"/>
        </w:rPr>
        <w:t>1.磋商保证金是为了保护采购人免遭因磋商供应商的行为而蒙受的损失，采购人因磋商供应商的行为受到损害时，采购人或者代理机构可根据相关规定处理。</w:t>
      </w:r>
    </w:p>
    <w:p w14:paraId="2116D68E">
      <w:pPr>
        <w:adjustRightInd w:val="0"/>
        <w:snapToGrid w:val="0"/>
        <w:ind w:firstLine="480" w:firstLineChars="200"/>
        <w:rPr>
          <w:rFonts w:ascii="仿宋" w:hAnsi="仿宋" w:eastAsia="仿宋"/>
          <w:sz w:val="24"/>
          <w:szCs w:val="24"/>
        </w:rPr>
      </w:pPr>
      <w:r>
        <w:rPr>
          <w:rFonts w:hint="eastAsia" w:ascii="仿宋" w:hAnsi="仿宋" w:eastAsia="仿宋"/>
          <w:sz w:val="24"/>
          <w:szCs w:val="24"/>
        </w:rPr>
        <w:t>2.参加磋商采购所需交纳的保证金必须是人民币，磋商保证金的缴纳形式见竞争性磋商采购公告。</w:t>
      </w:r>
    </w:p>
    <w:p w14:paraId="3BF63E82">
      <w:pPr>
        <w:snapToGrid w:val="0"/>
        <w:ind w:firstLine="480" w:firstLineChars="200"/>
        <w:rPr>
          <w:rFonts w:ascii="仿宋" w:hAnsi="仿宋" w:eastAsia="仿宋"/>
          <w:sz w:val="24"/>
          <w:szCs w:val="24"/>
        </w:rPr>
      </w:pPr>
      <w:r>
        <w:rPr>
          <w:rFonts w:hint="eastAsia" w:ascii="仿宋" w:hAnsi="仿宋" w:eastAsia="仿宋"/>
          <w:sz w:val="24"/>
          <w:szCs w:val="24"/>
        </w:rPr>
        <w:t>3.在磋商时，对在磋商响应文件递交截止时间以前未按磋商文件要求提交磋商保证金的响应文件，采购人或者代理机构将视其为无效响应文件而予以拒绝。</w:t>
      </w:r>
    </w:p>
    <w:p w14:paraId="234BED27">
      <w:pPr>
        <w:snapToGrid w:val="0"/>
        <w:ind w:firstLine="480" w:firstLineChars="200"/>
        <w:rPr>
          <w:rFonts w:ascii="仿宋" w:hAnsi="仿宋" w:eastAsia="仿宋"/>
          <w:sz w:val="24"/>
          <w:szCs w:val="24"/>
        </w:rPr>
      </w:pPr>
      <w:r>
        <w:rPr>
          <w:rFonts w:hint="eastAsia" w:ascii="仿宋" w:hAnsi="仿宋" w:eastAsia="仿宋"/>
          <w:sz w:val="24"/>
          <w:szCs w:val="24"/>
        </w:rPr>
        <w:t>4.未成交供应商的磋商保证金汇票在项目磋商结束后马上原额退还，成交供应商的磋商保证金汇票在采购合同签订后5个工作日内原额退还，不计利息。</w:t>
      </w:r>
    </w:p>
    <w:p w14:paraId="7CBB6474">
      <w:pPr>
        <w:snapToGrid w:val="0"/>
        <w:ind w:firstLine="480" w:firstLineChars="200"/>
        <w:rPr>
          <w:rFonts w:ascii="仿宋" w:hAnsi="仿宋" w:eastAsia="仿宋"/>
          <w:sz w:val="24"/>
          <w:szCs w:val="24"/>
        </w:rPr>
      </w:pPr>
      <w:r>
        <w:rPr>
          <w:rFonts w:hint="eastAsia" w:ascii="仿宋" w:hAnsi="仿宋" w:eastAsia="仿宋"/>
          <w:sz w:val="24"/>
          <w:szCs w:val="24"/>
        </w:rPr>
        <w:t>5.下列任何情况发生时，磋商保证金不予退还：</w:t>
      </w:r>
    </w:p>
    <w:p w14:paraId="5B4F3CF6">
      <w:pPr>
        <w:snapToGrid w:val="0"/>
        <w:ind w:firstLine="480" w:firstLineChars="200"/>
        <w:rPr>
          <w:rFonts w:ascii="仿宋" w:hAnsi="仿宋" w:eastAsia="仿宋"/>
          <w:sz w:val="24"/>
          <w:szCs w:val="24"/>
        </w:rPr>
      </w:pPr>
      <w:r>
        <w:rPr>
          <w:rFonts w:hint="eastAsia" w:ascii="仿宋" w:hAnsi="仿宋" w:eastAsia="仿宋"/>
          <w:sz w:val="24"/>
          <w:szCs w:val="24"/>
        </w:rPr>
        <w:t>（1）磋商供应商在磋商有效期内无正当理由撤回其磋商响应文件或者在磋商过程中无正当理由退出磋商活动；</w:t>
      </w:r>
    </w:p>
    <w:p w14:paraId="0F357375">
      <w:pPr>
        <w:snapToGrid w:val="0"/>
        <w:ind w:firstLine="480" w:firstLineChars="200"/>
        <w:rPr>
          <w:rFonts w:ascii="仿宋" w:hAnsi="仿宋" w:eastAsia="仿宋"/>
          <w:sz w:val="24"/>
          <w:szCs w:val="24"/>
        </w:rPr>
      </w:pPr>
      <w:bookmarkStart w:id="24" w:name="_Toc513029224"/>
      <w:bookmarkStart w:id="25" w:name="_Toc61149562"/>
      <w:bookmarkStart w:id="26" w:name="_Toc14577362"/>
      <w:r>
        <w:rPr>
          <w:rFonts w:hint="eastAsia" w:ascii="仿宋" w:hAnsi="仿宋" w:eastAsia="仿宋"/>
          <w:sz w:val="24"/>
          <w:szCs w:val="24"/>
        </w:rPr>
        <w:t>（2）提供虚假材料谋取成交的；</w:t>
      </w:r>
    </w:p>
    <w:p w14:paraId="268CB94C">
      <w:pPr>
        <w:snapToGrid w:val="0"/>
        <w:ind w:firstLine="480" w:firstLineChars="200"/>
        <w:rPr>
          <w:rFonts w:ascii="仿宋" w:hAnsi="仿宋" w:eastAsia="仿宋"/>
          <w:sz w:val="24"/>
          <w:szCs w:val="24"/>
        </w:rPr>
      </w:pPr>
      <w:r>
        <w:rPr>
          <w:rFonts w:hint="eastAsia" w:ascii="仿宋" w:hAnsi="仿宋" w:eastAsia="仿宋"/>
          <w:sz w:val="24"/>
          <w:szCs w:val="24"/>
        </w:rPr>
        <w:t>（3）采取不正当手段诋毁、排挤其他供应商的；</w:t>
      </w:r>
    </w:p>
    <w:p w14:paraId="28DFA2F6">
      <w:pPr>
        <w:snapToGrid w:val="0"/>
        <w:ind w:firstLine="480" w:firstLineChars="200"/>
        <w:rPr>
          <w:rFonts w:ascii="仿宋" w:hAnsi="仿宋" w:eastAsia="仿宋"/>
          <w:sz w:val="24"/>
          <w:szCs w:val="24"/>
        </w:rPr>
      </w:pPr>
      <w:r>
        <w:rPr>
          <w:rFonts w:hint="eastAsia" w:ascii="仿宋" w:hAnsi="仿宋" w:eastAsia="仿宋"/>
          <w:sz w:val="24"/>
          <w:szCs w:val="24"/>
        </w:rPr>
        <w:t>（4）与采购人、其他供应商恶意串通的；</w:t>
      </w:r>
    </w:p>
    <w:p w14:paraId="68218C20">
      <w:pPr>
        <w:snapToGrid w:val="0"/>
        <w:ind w:firstLine="480" w:firstLineChars="200"/>
        <w:rPr>
          <w:rFonts w:ascii="仿宋" w:hAnsi="仿宋" w:eastAsia="仿宋"/>
          <w:sz w:val="24"/>
          <w:szCs w:val="24"/>
        </w:rPr>
      </w:pPr>
      <w:r>
        <w:rPr>
          <w:rFonts w:hint="eastAsia" w:ascii="仿宋" w:hAnsi="仿宋" w:eastAsia="仿宋"/>
          <w:sz w:val="24"/>
          <w:szCs w:val="24"/>
        </w:rPr>
        <w:t>（5）除因不可抗力或磋商文件认可的情形以外，成交供应商不与采购人签订合同的；</w:t>
      </w:r>
    </w:p>
    <w:p w14:paraId="6AE647E6">
      <w:pPr>
        <w:snapToGrid w:val="0"/>
        <w:ind w:firstLine="480" w:firstLineChars="200"/>
        <w:rPr>
          <w:rFonts w:ascii="仿宋" w:hAnsi="仿宋" w:eastAsia="仿宋"/>
          <w:sz w:val="24"/>
          <w:szCs w:val="24"/>
        </w:rPr>
      </w:pPr>
      <w:r>
        <w:rPr>
          <w:rFonts w:hint="eastAsia" w:ascii="仿宋" w:hAnsi="仿宋" w:eastAsia="仿宋"/>
          <w:sz w:val="24"/>
          <w:szCs w:val="24"/>
        </w:rPr>
        <w:t>（6）磋商文件规定的其它情形。</w:t>
      </w:r>
    </w:p>
    <w:p w14:paraId="576D77B7">
      <w:pPr>
        <w:snapToGrid w:val="0"/>
        <w:ind w:firstLine="480" w:firstLineChars="200"/>
        <w:rPr>
          <w:rFonts w:ascii="仿宋" w:hAnsi="仿宋" w:eastAsia="仿宋"/>
          <w:sz w:val="24"/>
          <w:szCs w:val="24"/>
        </w:rPr>
      </w:pPr>
      <w:r>
        <w:rPr>
          <w:rFonts w:hint="eastAsia" w:ascii="仿宋" w:hAnsi="仿宋" w:eastAsia="仿宋"/>
          <w:sz w:val="24"/>
          <w:szCs w:val="24"/>
        </w:rPr>
        <w:t>6.已提交响应文件的供应商，在提交最后报价之前，可以根据磋商情况退出磋商。采购人或者代理机构应当退还退出磋商的供应商的保证金。</w:t>
      </w:r>
    </w:p>
    <w:bookmarkEnd w:id="24"/>
    <w:bookmarkEnd w:id="25"/>
    <w:bookmarkEnd w:id="26"/>
    <w:p w14:paraId="78814AC8">
      <w:pPr>
        <w:snapToGrid w:val="0"/>
        <w:ind w:firstLine="350" w:firstLineChars="146"/>
        <w:rPr>
          <w:rFonts w:ascii="黑体" w:hAnsi="黑体" w:eastAsia="黑体"/>
          <w:sz w:val="24"/>
          <w:szCs w:val="24"/>
        </w:rPr>
      </w:pPr>
      <w:bookmarkStart w:id="27" w:name="_Hlt26954864"/>
      <w:bookmarkEnd w:id="27"/>
      <w:bookmarkStart w:id="28" w:name="_Hlt26670523"/>
      <w:bookmarkEnd w:id="28"/>
      <w:r>
        <w:rPr>
          <w:rFonts w:hint="eastAsia" w:ascii="黑体" w:hAnsi="黑体" w:eastAsia="黑体"/>
          <w:sz w:val="24"/>
          <w:szCs w:val="24"/>
        </w:rPr>
        <w:t>五、磋商与评审</w:t>
      </w:r>
    </w:p>
    <w:p w14:paraId="690BE510">
      <w:pPr>
        <w:snapToGrid w:val="0"/>
        <w:ind w:firstLine="480" w:firstLineChars="200"/>
        <w:rPr>
          <w:rFonts w:ascii="仿宋" w:hAnsi="仿宋" w:eastAsia="仿宋"/>
          <w:sz w:val="24"/>
          <w:szCs w:val="24"/>
        </w:rPr>
      </w:pPr>
      <w:r>
        <w:rPr>
          <w:rFonts w:hint="eastAsia" w:ascii="仿宋" w:hAnsi="仿宋" w:eastAsia="仿宋"/>
          <w:sz w:val="24"/>
          <w:szCs w:val="24"/>
        </w:rPr>
        <w:t>1.采购人或者代理机构将在竞争性磋商公告中规定的时间和地点组织磋商，供应商应委派携带有效证件的代表准时参加，参加磋商的代表需签名以证明其出席。</w:t>
      </w:r>
    </w:p>
    <w:p w14:paraId="238A9EAB">
      <w:pPr>
        <w:snapToGrid w:val="0"/>
        <w:ind w:firstLine="480" w:firstLineChars="200"/>
        <w:rPr>
          <w:rFonts w:ascii="仿宋" w:hAnsi="仿宋" w:eastAsia="仿宋"/>
          <w:sz w:val="24"/>
          <w:szCs w:val="24"/>
        </w:rPr>
      </w:pPr>
      <w:bookmarkStart w:id="29" w:name="_Toc20823303"/>
      <w:bookmarkStart w:id="30" w:name="_Toc513029231"/>
      <w:bookmarkStart w:id="31" w:name="_Toc16938547"/>
      <w:r>
        <w:rPr>
          <w:rFonts w:hint="eastAsia" w:ascii="仿宋" w:hAnsi="仿宋" w:eastAsia="仿宋"/>
          <w:sz w:val="24"/>
          <w:szCs w:val="24"/>
        </w:rPr>
        <w:t>2.磋商小组由政府采购评审专家、采购人代表组成。磋商小组所有成员应当集中与单一供应商分别进行磋商，并给予所有参加磋商的供应商平等的磋商机会。</w:t>
      </w:r>
    </w:p>
    <w:p w14:paraId="299BE990">
      <w:pPr>
        <w:snapToGrid w:val="0"/>
        <w:ind w:firstLine="480" w:firstLineChars="200"/>
        <w:rPr>
          <w:rFonts w:ascii="仿宋" w:hAnsi="仿宋" w:eastAsia="仿宋"/>
          <w:sz w:val="24"/>
          <w:szCs w:val="24"/>
        </w:rPr>
      </w:pPr>
      <w:r>
        <w:rPr>
          <w:rFonts w:hint="eastAsia" w:ascii="仿宋" w:hAnsi="仿宋" w:eastAsia="仿宋"/>
          <w:sz w:val="24"/>
          <w:szCs w:val="24"/>
        </w:rPr>
        <w:t>3.磋商小组将以科学、公正的态度参加评审、磋商工作并推荐成交候选人。评审专家在评审过程中不受任何干扰，独立、负责地提出评审意见，并对自己的评审意见承担责任。</w:t>
      </w:r>
    </w:p>
    <w:p w14:paraId="4A3B0DC0">
      <w:pPr>
        <w:snapToGrid w:val="0"/>
        <w:ind w:firstLine="480" w:firstLineChars="200"/>
        <w:rPr>
          <w:rFonts w:ascii="仿宋" w:hAnsi="仿宋" w:eastAsia="仿宋"/>
          <w:sz w:val="24"/>
          <w:szCs w:val="24"/>
        </w:rPr>
      </w:pPr>
      <w:r>
        <w:rPr>
          <w:rFonts w:hint="eastAsia" w:ascii="仿宋" w:hAnsi="仿宋" w:eastAsia="仿宋"/>
          <w:sz w:val="24"/>
          <w:szCs w:val="24"/>
        </w:rPr>
        <w:t>4. 磋商小组将按照第五章“评审标准和方法”所述评标方法与标准，对资格性审查和符合性审查合格的磋商响应文件进行商务和技术评估，综合比较与评价。</w:t>
      </w:r>
    </w:p>
    <w:p w14:paraId="6559AEE3">
      <w:pPr>
        <w:snapToGrid w:val="0"/>
        <w:ind w:firstLine="480" w:firstLineChars="200"/>
        <w:rPr>
          <w:rFonts w:ascii="仿宋" w:hAnsi="仿宋" w:eastAsia="仿宋"/>
          <w:sz w:val="24"/>
          <w:szCs w:val="24"/>
        </w:rPr>
      </w:pPr>
      <w:r>
        <w:rPr>
          <w:rFonts w:hint="eastAsia" w:ascii="仿宋" w:hAnsi="仿宋" w:eastAsia="仿宋"/>
          <w:sz w:val="24"/>
          <w:szCs w:val="24"/>
        </w:rPr>
        <w:t>5.资格性审查：</w:t>
      </w:r>
    </w:p>
    <w:p w14:paraId="7529DBE6">
      <w:pPr>
        <w:snapToGrid w:val="0"/>
        <w:ind w:firstLine="480" w:firstLineChars="200"/>
        <w:rPr>
          <w:rFonts w:ascii="仿宋" w:hAnsi="仿宋" w:eastAsia="仿宋"/>
          <w:sz w:val="24"/>
          <w:szCs w:val="24"/>
        </w:rPr>
      </w:pPr>
      <w:r>
        <w:rPr>
          <w:rFonts w:hint="eastAsia" w:ascii="仿宋" w:hAnsi="仿宋" w:eastAsia="仿宋"/>
          <w:sz w:val="24"/>
          <w:szCs w:val="24"/>
        </w:rPr>
        <w:t>（1）磋商小组依据法律法规和采购文件的规定，对响应文件中的资格证明材料、磋商保证金等进行审查，以确定供应商是否具备参加磋商的资格。</w:t>
      </w:r>
    </w:p>
    <w:p w14:paraId="39490DDA">
      <w:pPr>
        <w:snapToGrid w:val="0"/>
        <w:ind w:firstLine="480" w:firstLineChars="200"/>
        <w:rPr>
          <w:rFonts w:ascii="仿宋" w:hAnsi="仿宋" w:eastAsia="仿宋"/>
          <w:sz w:val="24"/>
          <w:szCs w:val="24"/>
        </w:rPr>
      </w:pPr>
      <w:r>
        <w:rPr>
          <w:rFonts w:hint="eastAsia" w:ascii="仿宋" w:hAnsi="仿宋" w:eastAsia="仿宋"/>
          <w:sz w:val="24"/>
          <w:szCs w:val="24"/>
        </w:rPr>
        <w:t>（2）磋商小组将在“信用中国（www.creditchina.gov.cn）”、“中国政府采购网  （http://www.ccgp.gov.cn/）”、“信用江苏（http://www.jscredit.cn）”网站对供应商是否被列入失信被执行人或重大税收违法案件当事人名单或政府采购严重失信行为记录名单情况进行查询，以确定供应商是否具备参加磋商的资格。</w:t>
      </w:r>
    </w:p>
    <w:p w14:paraId="2640F307">
      <w:pPr>
        <w:snapToGrid w:val="0"/>
        <w:ind w:firstLine="480" w:firstLineChars="200"/>
        <w:rPr>
          <w:rFonts w:ascii="仿宋" w:hAnsi="仿宋" w:eastAsia="仿宋"/>
          <w:sz w:val="24"/>
          <w:szCs w:val="24"/>
        </w:rPr>
      </w:pPr>
      <w:r>
        <w:rPr>
          <w:rFonts w:hint="eastAsia" w:ascii="仿宋" w:hAnsi="仿宋" w:eastAsia="仿宋"/>
          <w:sz w:val="24"/>
          <w:szCs w:val="24"/>
        </w:rPr>
        <w:t>6.符合性审查：依据采购文件的规定，从响应文件的有效性、完整性和对磋商文件的响应程度进行审查，并逐项界定磋商响应文件的全部响应偏差，以确定是否与磋商文件要求的全部条款、条件和规格相符，没有重大负偏离或保留。未实质性响应磋商文件要求的响应文件将被视为无效磋商。</w:t>
      </w:r>
    </w:p>
    <w:p w14:paraId="30045F22">
      <w:pPr>
        <w:snapToGrid w:val="0"/>
        <w:ind w:firstLine="480" w:firstLineChars="200"/>
        <w:rPr>
          <w:rFonts w:ascii="仿宋" w:hAnsi="仿宋" w:eastAsia="仿宋"/>
          <w:sz w:val="24"/>
          <w:szCs w:val="24"/>
        </w:rPr>
      </w:pPr>
      <w:r>
        <w:rPr>
          <w:rFonts w:hint="eastAsia" w:ascii="仿宋" w:hAnsi="仿宋" w:eastAsia="仿宋"/>
          <w:sz w:val="24"/>
          <w:szCs w:val="24"/>
        </w:rPr>
        <w:t>7.重大负偏离或保留是指与采购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w:t>
      </w:r>
    </w:p>
    <w:p w14:paraId="4E2AF7A2">
      <w:pPr>
        <w:snapToGrid w:val="0"/>
        <w:ind w:firstLine="480" w:firstLineChars="200"/>
        <w:rPr>
          <w:rFonts w:ascii="仿宋" w:hAnsi="仿宋" w:eastAsia="仿宋"/>
          <w:sz w:val="24"/>
          <w:szCs w:val="24"/>
        </w:rPr>
      </w:pPr>
      <w:r>
        <w:rPr>
          <w:rFonts w:hint="eastAsia" w:ascii="仿宋" w:hAnsi="仿宋" w:eastAsia="仿宋"/>
          <w:sz w:val="24"/>
          <w:szCs w:val="24"/>
        </w:rPr>
        <w:t>8.下列情况属于重大负偏离：</w:t>
      </w:r>
    </w:p>
    <w:p w14:paraId="352EFCCA">
      <w:pPr>
        <w:snapToGrid w:val="0"/>
        <w:ind w:firstLine="480" w:firstLineChars="200"/>
        <w:rPr>
          <w:rFonts w:ascii="仿宋" w:hAnsi="仿宋" w:eastAsia="仿宋"/>
          <w:sz w:val="24"/>
          <w:szCs w:val="24"/>
        </w:rPr>
      </w:pPr>
      <w:r>
        <w:rPr>
          <w:rFonts w:hint="eastAsia" w:ascii="仿宋" w:hAnsi="仿宋" w:eastAsia="仿宋"/>
          <w:sz w:val="24"/>
          <w:szCs w:val="24"/>
        </w:rPr>
        <w:t>（1）明显不符合技术规格、技术标准的要求；</w:t>
      </w:r>
    </w:p>
    <w:p w14:paraId="0DA8234E">
      <w:pPr>
        <w:snapToGrid w:val="0"/>
        <w:ind w:firstLine="480" w:firstLineChars="200"/>
        <w:rPr>
          <w:rFonts w:ascii="仿宋" w:hAnsi="仿宋" w:eastAsia="仿宋"/>
          <w:sz w:val="24"/>
          <w:szCs w:val="24"/>
        </w:rPr>
      </w:pPr>
      <w:r>
        <w:rPr>
          <w:rFonts w:hint="eastAsia" w:ascii="仿宋" w:hAnsi="仿宋" w:eastAsia="仿宋"/>
          <w:sz w:val="24"/>
          <w:szCs w:val="24"/>
        </w:rPr>
        <w:t>（2）磋商响应文件附有采购人不能接受的条件；</w:t>
      </w:r>
    </w:p>
    <w:p w14:paraId="7DD3D027">
      <w:pPr>
        <w:snapToGrid w:val="0"/>
        <w:ind w:firstLine="480" w:firstLineChars="200"/>
        <w:rPr>
          <w:rFonts w:ascii="仿宋" w:hAnsi="仿宋" w:eastAsia="仿宋"/>
          <w:sz w:val="24"/>
          <w:szCs w:val="24"/>
        </w:rPr>
      </w:pPr>
      <w:r>
        <w:rPr>
          <w:rFonts w:hint="eastAsia" w:ascii="仿宋" w:hAnsi="仿宋" w:eastAsia="仿宋"/>
          <w:sz w:val="24"/>
          <w:szCs w:val="24"/>
        </w:rPr>
        <w:t>（3）磋商响应文件载明的货物包装方式、检验标准和方法等不符合磋商文件的要求；</w:t>
      </w:r>
    </w:p>
    <w:p w14:paraId="526E3C24">
      <w:pPr>
        <w:snapToGrid w:val="0"/>
        <w:ind w:firstLine="480" w:firstLineChars="200"/>
        <w:rPr>
          <w:rFonts w:ascii="仿宋" w:hAnsi="仿宋" w:eastAsia="仿宋"/>
          <w:sz w:val="24"/>
          <w:szCs w:val="24"/>
        </w:rPr>
      </w:pPr>
      <w:r>
        <w:rPr>
          <w:rFonts w:hint="eastAsia" w:ascii="仿宋" w:hAnsi="仿宋" w:eastAsia="仿宋"/>
          <w:sz w:val="24"/>
          <w:szCs w:val="24"/>
        </w:rPr>
        <w:t>（4）磋商响应文件载明的响应项目完成期限超过磋商文件规定的；</w:t>
      </w:r>
    </w:p>
    <w:p w14:paraId="31E45D28">
      <w:pPr>
        <w:snapToGrid w:val="0"/>
        <w:ind w:firstLine="480" w:firstLineChars="200"/>
        <w:rPr>
          <w:rFonts w:ascii="仿宋" w:hAnsi="仿宋" w:eastAsia="仿宋"/>
          <w:sz w:val="24"/>
          <w:szCs w:val="24"/>
        </w:rPr>
      </w:pPr>
      <w:r>
        <w:rPr>
          <w:rFonts w:hint="eastAsia" w:ascii="仿宋" w:hAnsi="仿宋" w:eastAsia="仿宋"/>
          <w:sz w:val="24"/>
          <w:szCs w:val="24"/>
        </w:rPr>
        <w:t>（5）磋商响应文件载明的付款方式不满足磋商文件规定的；</w:t>
      </w:r>
    </w:p>
    <w:p w14:paraId="5281C5B7">
      <w:pPr>
        <w:snapToGrid w:val="0"/>
        <w:ind w:firstLine="480" w:firstLineChars="200"/>
        <w:rPr>
          <w:rFonts w:ascii="仿宋" w:hAnsi="仿宋" w:eastAsia="仿宋"/>
          <w:sz w:val="24"/>
          <w:szCs w:val="24"/>
        </w:rPr>
      </w:pPr>
      <w:r>
        <w:rPr>
          <w:rFonts w:hint="eastAsia" w:ascii="仿宋" w:hAnsi="仿宋" w:eastAsia="仿宋"/>
          <w:sz w:val="24"/>
          <w:szCs w:val="24"/>
        </w:rPr>
        <w:t>（6）磋商产品不符合国家强制性要求的。</w:t>
      </w:r>
    </w:p>
    <w:p w14:paraId="436B647E">
      <w:pPr>
        <w:snapToGrid w:val="0"/>
        <w:ind w:firstLine="480" w:firstLineChars="200"/>
        <w:rPr>
          <w:rFonts w:ascii="仿宋" w:hAnsi="仿宋" w:eastAsia="仿宋"/>
          <w:sz w:val="24"/>
          <w:szCs w:val="24"/>
        </w:rPr>
      </w:pPr>
      <w:r>
        <w:rPr>
          <w:rFonts w:hint="eastAsia" w:ascii="仿宋" w:hAnsi="仿宋" w:eastAsia="仿宋"/>
          <w:sz w:val="24"/>
          <w:szCs w:val="24"/>
        </w:rPr>
        <w:t>（7）磋商响应文件存在 3 项细微负偏离的。</w:t>
      </w:r>
    </w:p>
    <w:p w14:paraId="35026BE2">
      <w:pPr>
        <w:snapToGrid w:val="0"/>
        <w:ind w:firstLine="480" w:firstLineChars="200"/>
        <w:rPr>
          <w:rFonts w:ascii="仿宋" w:hAnsi="仿宋" w:eastAsia="仿宋"/>
          <w:sz w:val="24"/>
          <w:szCs w:val="24"/>
        </w:rPr>
      </w:pPr>
      <w:r>
        <w:rPr>
          <w:rFonts w:hint="eastAsia" w:ascii="仿宋" w:hAnsi="仿宋" w:eastAsia="仿宋"/>
          <w:sz w:val="24"/>
          <w:szCs w:val="24"/>
        </w:rPr>
        <w:t>（8）不符合磋商文件中规定的其他实质性要求。</w:t>
      </w:r>
    </w:p>
    <w:p w14:paraId="6206C6E2">
      <w:pPr>
        <w:snapToGrid w:val="0"/>
        <w:ind w:firstLine="480" w:firstLineChars="200"/>
        <w:rPr>
          <w:rFonts w:ascii="仿宋" w:hAnsi="仿宋" w:eastAsia="仿宋"/>
          <w:sz w:val="24"/>
          <w:szCs w:val="24"/>
        </w:rPr>
      </w:pPr>
      <w:r>
        <w:rPr>
          <w:rFonts w:hint="eastAsia" w:ascii="仿宋" w:hAnsi="仿宋" w:eastAsia="仿宋"/>
          <w:sz w:val="24"/>
          <w:szCs w:val="24"/>
        </w:rPr>
        <w:t>9.细微负偏离：磋商响应文件在实质上响应磋商文件要求，但在个别地方存在漏项或者提供了不完整或低于磋商文件要求的技术信息和数据等情况，并且补正这些遗漏或者不完整会对其他磋商响应供应商造成不公平的结果。细微负偏离不影响磋商响应文件的有效性。</w:t>
      </w:r>
    </w:p>
    <w:p w14:paraId="2CD43E1B">
      <w:pPr>
        <w:snapToGrid w:val="0"/>
        <w:ind w:firstLine="480" w:firstLineChars="200"/>
        <w:rPr>
          <w:rFonts w:ascii="仿宋" w:hAnsi="仿宋" w:eastAsia="仿宋"/>
          <w:sz w:val="24"/>
          <w:szCs w:val="24"/>
        </w:rPr>
      </w:pPr>
      <w:r>
        <w:rPr>
          <w:rFonts w:hint="eastAsia" w:ascii="仿宋" w:hAnsi="仿宋" w:eastAsia="仿宋"/>
          <w:sz w:val="24"/>
          <w:szCs w:val="24"/>
        </w:rPr>
        <w:t>磋商小组应当书面要求存在不会对其他磋商响应供应商造成不公平结果的细微负偏差的磋商响应供应商在评审结束前予以书面补正。无法补正的，可在评审时对细微负偏差作不利于该磋商响应供应商的认定。</w:t>
      </w:r>
    </w:p>
    <w:p w14:paraId="069E250F">
      <w:pPr>
        <w:snapToGrid w:val="0"/>
        <w:ind w:firstLine="480" w:firstLineChars="200"/>
        <w:rPr>
          <w:rFonts w:ascii="仿宋" w:hAnsi="仿宋" w:eastAsia="仿宋"/>
          <w:sz w:val="24"/>
          <w:szCs w:val="24"/>
        </w:rPr>
      </w:pPr>
      <w:r>
        <w:rPr>
          <w:rFonts w:hint="eastAsia" w:ascii="仿宋" w:hAnsi="仿宋" w:eastAsia="仿宋"/>
          <w:sz w:val="24"/>
          <w:szCs w:val="24"/>
        </w:rPr>
        <w:t>10.磋商小组将对供应商的商业、技术秘密予以保密。</w:t>
      </w:r>
    </w:p>
    <w:bookmarkEnd w:id="29"/>
    <w:bookmarkEnd w:id="30"/>
    <w:bookmarkEnd w:id="31"/>
    <w:p w14:paraId="30884A86">
      <w:pPr>
        <w:snapToGrid w:val="0"/>
        <w:ind w:firstLine="480" w:firstLineChars="200"/>
        <w:rPr>
          <w:rFonts w:ascii="仿宋" w:hAnsi="仿宋" w:eastAsia="仿宋"/>
          <w:sz w:val="24"/>
          <w:szCs w:val="24"/>
        </w:rPr>
      </w:pPr>
      <w:r>
        <w:rPr>
          <w:rFonts w:hint="eastAsia" w:ascii="仿宋" w:hAnsi="仿宋" w:eastAsia="仿宋"/>
          <w:sz w:val="24"/>
          <w:szCs w:val="24"/>
        </w:rPr>
        <w:t>11.在磋商活动中，凡是与审查、澄清、评价和比较磋商响应文件的有关资料以及推荐建议等，均不得向供应商或与评审无关的其他人员透露。</w:t>
      </w:r>
    </w:p>
    <w:p w14:paraId="672FF920">
      <w:pPr>
        <w:snapToGrid w:val="0"/>
        <w:ind w:firstLine="480" w:firstLineChars="200"/>
        <w:rPr>
          <w:rFonts w:ascii="仿宋" w:hAnsi="仿宋" w:eastAsia="仿宋"/>
          <w:sz w:val="24"/>
          <w:szCs w:val="24"/>
        </w:rPr>
      </w:pPr>
      <w:r>
        <w:rPr>
          <w:rFonts w:hint="eastAsia" w:ascii="仿宋" w:hAnsi="仿宋" w:eastAsia="仿宋"/>
          <w:sz w:val="24"/>
          <w:szCs w:val="24"/>
        </w:rPr>
        <w:t>12.在评审过程中，如果供应商试图向采购人或者代理机构、以及参与评审的人员施加任何影响，都将会导致其磋商响应文件被拒绝。</w:t>
      </w:r>
    </w:p>
    <w:p w14:paraId="4D6764B0">
      <w:pPr>
        <w:tabs>
          <w:tab w:val="left" w:pos="900"/>
        </w:tabs>
        <w:snapToGrid w:val="0"/>
        <w:spacing w:afterLines="50"/>
        <w:ind w:firstLine="477" w:firstLineChars="199"/>
        <w:rPr>
          <w:rFonts w:ascii="仿宋" w:hAnsi="仿宋" w:eastAsia="仿宋"/>
          <w:sz w:val="24"/>
          <w:szCs w:val="24"/>
        </w:rPr>
      </w:pPr>
      <w:bookmarkStart w:id="32" w:name="_Toc16938549"/>
      <w:bookmarkStart w:id="33" w:name="_Toc513029233"/>
      <w:bookmarkStart w:id="34" w:name="_Toc20823305"/>
      <w:r>
        <w:rPr>
          <w:rFonts w:hint="eastAsia" w:ascii="仿宋" w:hAnsi="仿宋" w:eastAsia="仿宋"/>
          <w:sz w:val="24"/>
          <w:szCs w:val="24"/>
        </w:rPr>
        <w:t>13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831BEE">
      <w:pPr>
        <w:tabs>
          <w:tab w:val="left" w:pos="900"/>
        </w:tabs>
        <w:snapToGrid w:val="0"/>
        <w:spacing w:afterLines="50"/>
        <w:ind w:firstLine="480" w:firstLineChars="200"/>
        <w:rPr>
          <w:rFonts w:ascii="仿宋" w:hAnsi="仿宋" w:eastAsia="仿宋"/>
          <w:sz w:val="24"/>
          <w:szCs w:val="24"/>
        </w:rPr>
      </w:pPr>
      <w:r>
        <w:rPr>
          <w:rFonts w:hint="eastAsia" w:ascii="仿宋" w:hAnsi="仿宋" w:eastAsia="仿宋"/>
          <w:sz w:val="24"/>
          <w:szCs w:val="24"/>
        </w:rPr>
        <w:t>14.接到磋商小组要求的供应商应派人按磋商小组通知的时间和地点做出书面澄清、说明或更正。供应商的澄清、说明或者更正应当由法定代表人或授权代表签字或者加盖公章。供应商为自然人的，应当由本人签字并附身份证明。</w:t>
      </w:r>
    </w:p>
    <w:p w14:paraId="602CCD32">
      <w:pPr>
        <w:tabs>
          <w:tab w:val="left" w:pos="900"/>
        </w:tabs>
        <w:snapToGrid w:val="0"/>
        <w:spacing w:afterLines="50"/>
        <w:ind w:firstLine="477" w:firstLineChars="199"/>
        <w:rPr>
          <w:rFonts w:ascii="仿宋" w:hAnsi="仿宋" w:eastAsia="仿宋"/>
          <w:sz w:val="24"/>
          <w:szCs w:val="24"/>
        </w:rPr>
      </w:pPr>
      <w:r>
        <w:rPr>
          <w:rFonts w:hint="eastAsia" w:ascii="仿宋" w:hAnsi="仿宋" w:eastAsia="仿宋"/>
          <w:sz w:val="24"/>
          <w:szCs w:val="24"/>
        </w:rPr>
        <w:t>15.接到磋商小组澄清要求的供应商如未按规定做出澄清，其风险由供应商自行承担。</w:t>
      </w:r>
    </w:p>
    <w:bookmarkEnd w:id="32"/>
    <w:bookmarkEnd w:id="33"/>
    <w:bookmarkEnd w:id="34"/>
    <w:p w14:paraId="6CD2874E">
      <w:pPr>
        <w:snapToGrid w:val="0"/>
        <w:ind w:firstLine="480" w:firstLineChars="200"/>
        <w:rPr>
          <w:rFonts w:ascii="仿宋" w:hAnsi="仿宋" w:eastAsia="仿宋"/>
          <w:sz w:val="24"/>
          <w:szCs w:val="24"/>
        </w:rPr>
      </w:pPr>
      <w:r>
        <w:rPr>
          <w:rFonts w:hint="eastAsia" w:ascii="仿宋" w:hAnsi="仿宋" w:eastAsia="仿宋"/>
          <w:sz w:val="24"/>
          <w:szCs w:val="24"/>
        </w:rPr>
        <w:t>16.磋商小组决定响应文件的响应性只根据磋商响应文件本身的内容，而不寻求外部的证据。</w:t>
      </w:r>
    </w:p>
    <w:p w14:paraId="37ECE771">
      <w:pPr>
        <w:snapToGrid w:val="0"/>
        <w:ind w:firstLine="480" w:firstLineChars="200"/>
        <w:rPr>
          <w:rFonts w:ascii="仿宋" w:hAnsi="仿宋" w:eastAsia="仿宋"/>
          <w:sz w:val="24"/>
          <w:szCs w:val="24"/>
        </w:rPr>
      </w:pPr>
      <w:r>
        <w:rPr>
          <w:rFonts w:hint="eastAsia" w:ascii="仿宋" w:hAnsi="仿宋" w:eastAsia="仿宋"/>
          <w:sz w:val="24"/>
          <w:szCs w:val="24"/>
        </w:rPr>
        <w:t>17. 属下列情形之一的，磋商响应供应商的磋商无效：</w:t>
      </w:r>
    </w:p>
    <w:p w14:paraId="6F727A62">
      <w:pPr>
        <w:snapToGrid w:val="0"/>
        <w:ind w:firstLine="480" w:firstLineChars="200"/>
        <w:rPr>
          <w:rFonts w:ascii="仿宋" w:hAnsi="仿宋" w:eastAsia="仿宋"/>
          <w:sz w:val="24"/>
          <w:szCs w:val="24"/>
        </w:rPr>
      </w:pPr>
      <w:r>
        <w:rPr>
          <w:rFonts w:hint="eastAsia" w:ascii="仿宋" w:hAnsi="仿宋" w:eastAsia="仿宋"/>
          <w:sz w:val="24"/>
          <w:szCs w:val="24"/>
        </w:rPr>
        <w:t>（1）磋商响应供应商不具备第一章“磋商邀请 ”规定的磋商响应供应商资格要求的；</w:t>
      </w:r>
    </w:p>
    <w:p w14:paraId="48271181">
      <w:pPr>
        <w:snapToGrid w:val="0"/>
        <w:ind w:firstLine="480" w:firstLineChars="200"/>
        <w:rPr>
          <w:rFonts w:ascii="仿宋" w:hAnsi="仿宋" w:eastAsia="仿宋"/>
          <w:sz w:val="24"/>
          <w:szCs w:val="24"/>
        </w:rPr>
      </w:pPr>
      <w:r>
        <w:rPr>
          <w:rFonts w:hint="eastAsia" w:ascii="仿宋" w:hAnsi="仿宋" w:eastAsia="仿宋"/>
          <w:sz w:val="24"/>
          <w:szCs w:val="24"/>
        </w:rPr>
        <w:t>（2）磋商响应供应商未按磋商文件规定提供资格证明材料和技术商务证明材料或提供的资料不全的；</w:t>
      </w:r>
    </w:p>
    <w:p w14:paraId="351FAA12">
      <w:pPr>
        <w:snapToGrid w:val="0"/>
        <w:ind w:firstLine="480" w:firstLineChars="200"/>
        <w:rPr>
          <w:rFonts w:ascii="仿宋" w:hAnsi="仿宋" w:eastAsia="仿宋"/>
          <w:sz w:val="24"/>
          <w:szCs w:val="24"/>
        </w:rPr>
      </w:pPr>
      <w:r>
        <w:rPr>
          <w:rFonts w:hint="eastAsia" w:ascii="仿宋" w:hAnsi="仿宋" w:eastAsia="仿宋"/>
          <w:sz w:val="24"/>
          <w:szCs w:val="24"/>
        </w:rPr>
        <w:t>（3）磋商响应文件编制和递交不符合本章第三项规定；</w:t>
      </w:r>
    </w:p>
    <w:p w14:paraId="6F3B6276">
      <w:pPr>
        <w:snapToGrid w:val="0"/>
        <w:ind w:firstLine="480" w:firstLineChars="200"/>
        <w:rPr>
          <w:rFonts w:ascii="仿宋" w:hAnsi="仿宋" w:eastAsia="仿宋"/>
          <w:sz w:val="24"/>
          <w:szCs w:val="24"/>
        </w:rPr>
      </w:pPr>
      <w:r>
        <w:rPr>
          <w:rFonts w:hint="eastAsia" w:ascii="仿宋" w:hAnsi="仿宋" w:eastAsia="仿宋"/>
          <w:sz w:val="24"/>
          <w:szCs w:val="24"/>
        </w:rPr>
        <w:t>（4）磋商报价超过采购预算或者最高限价的；</w:t>
      </w:r>
    </w:p>
    <w:p w14:paraId="662E870B">
      <w:pPr>
        <w:snapToGrid w:val="0"/>
        <w:ind w:firstLine="480" w:firstLineChars="200"/>
        <w:rPr>
          <w:rFonts w:ascii="仿宋" w:hAnsi="仿宋" w:eastAsia="仿宋"/>
          <w:sz w:val="24"/>
          <w:szCs w:val="24"/>
        </w:rPr>
      </w:pPr>
      <w:r>
        <w:rPr>
          <w:rFonts w:hint="eastAsia" w:ascii="仿宋" w:hAnsi="仿宋" w:eastAsia="仿宋"/>
          <w:sz w:val="24"/>
          <w:szCs w:val="24"/>
        </w:rPr>
        <w:t>（5）开标一览表总价与分项报价表汇总价格不一致的；</w:t>
      </w:r>
    </w:p>
    <w:p w14:paraId="3B549ADF">
      <w:pPr>
        <w:snapToGrid w:val="0"/>
        <w:ind w:firstLine="480" w:firstLineChars="200"/>
        <w:rPr>
          <w:rFonts w:ascii="仿宋" w:hAnsi="仿宋" w:eastAsia="仿宋"/>
          <w:sz w:val="24"/>
          <w:szCs w:val="24"/>
        </w:rPr>
      </w:pPr>
      <w:r>
        <w:rPr>
          <w:rFonts w:hint="eastAsia" w:ascii="仿宋" w:hAnsi="仿宋" w:eastAsia="仿宋"/>
          <w:sz w:val="24"/>
          <w:szCs w:val="24"/>
        </w:rPr>
        <w:t>（6）磋商响应供应商未能按本章第四项要求缴纳投标保证金或出具已缴纳投标保证金的相关证明的；</w:t>
      </w:r>
    </w:p>
    <w:p w14:paraId="4BAECA3C">
      <w:pPr>
        <w:snapToGrid w:val="0"/>
        <w:ind w:firstLine="480" w:firstLineChars="200"/>
        <w:rPr>
          <w:rFonts w:ascii="仿宋" w:hAnsi="仿宋" w:eastAsia="仿宋"/>
          <w:sz w:val="24"/>
          <w:szCs w:val="24"/>
        </w:rPr>
      </w:pPr>
      <w:r>
        <w:rPr>
          <w:rFonts w:hint="eastAsia" w:ascii="仿宋" w:hAnsi="仿宋" w:eastAsia="仿宋"/>
          <w:sz w:val="24"/>
          <w:szCs w:val="24"/>
        </w:rPr>
        <w:t>（7）磋商响应文件附有采购需求以外的条件使磋商小组认为不能接受的；</w:t>
      </w:r>
    </w:p>
    <w:p w14:paraId="583834B5">
      <w:pPr>
        <w:snapToGrid w:val="0"/>
        <w:ind w:firstLine="480" w:firstLineChars="200"/>
        <w:rPr>
          <w:rFonts w:ascii="仿宋" w:hAnsi="仿宋" w:eastAsia="仿宋"/>
          <w:sz w:val="24"/>
          <w:szCs w:val="24"/>
        </w:rPr>
      </w:pPr>
      <w:r>
        <w:rPr>
          <w:rFonts w:hint="eastAsia" w:ascii="仿宋" w:hAnsi="仿宋" w:eastAsia="仿宋"/>
          <w:sz w:val="24"/>
          <w:szCs w:val="24"/>
        </w:rPr>
        <w:t xml:space="preserve">（8）磋商响应供应商在磋商过程中提供虚假材料的； </w:t>
      </w:r>
    </w:p>
    <w:p w14:paraId="41F29B72">
      <w:pPr>
        <w:snapToGrid w:val="0"/>
        <w:ind w:firstLine="480" w:firstLineChars="200"/>
        <w:rPr>
          <w:rFonts w:ascii="仿宋" w:hAnsi="仿宋" w:eastAsia="仿宋"/>
          <w:sz w:val="24"/>
          <w:szCs w:val="24"/>
        </w:rPr>
      </w:pPr>
      <w:r>
        <w:rPr>
          <w:rFonts w:hint="eastAsia" w:ascii="仿宋" w:hAnsi="仿宋" w:eastAsia="仿宋"/>
          <w:sz w:val="24"/>
          <w:szCs w:val="24"/>
        </w:rPr>
        <w:t>（9）磋商文件规定的其他情形及拒绝接收磋商的情形。</w:t>
      </w:r>
    </w:p>
    <w:p w14:paraId="67F571D4">
      <w:pPr>
        <w:snapToGrid w:val="0"/>
        <w:ind w:firstLine="480" w:firstLineChars="200"/>
        <w:rPr>
          <w:rFonts w:ascii="仿宋" w:hAnsi="仿宋" w:eastAsia="仿宋"/>
          <w:sz w:val="24"/>
          <w:szCs w:val="24"/>
        </w:rPr>
      </w:pPr>
      <w:r>
        <w:rPr>
          <w:rFonts w:hint="eastAsia" w:ascii="仿宋" w:hAnsi="仿宋" w:eastAsia="仿宋"/>
          <w:sz w:val="24"/>
          <w:szCs w:val="24"/>
        </w:rPr>
        <w:t>18.未实质性响应磋商文件的响应文件按无效响应处理，磋商小组将予以拒绝，供应商不得通过修改或撤销不合要求的偏离或保留而使其磋商响应文件成为实质性响应的文件。</w:t>
      </w:r>
    </w:p>
    <w:p w14:paraId="0D1736CF">
      <w:pPr>
        <w:snapToGrid w:val="0"/>
        <w:ind w:firstLine="480" w:firstLineChars="200"/>
        <w:rPr>
          <w:rFonts w:ascii="仿宋" w:hAnsi="仿宋" w:eastAsia="仿宋"/>
          <w:sz w:val="24"/>
          <w:szCs w:val="24"/>
        </w:rPr>
      </w:pPr>
      <w:r>
        <w:rPr>
          <w:rFonts w:hint="eastAsia" w:ascii="仿宋" w:hAnsi="仿宋" w:eastAsia="仿宋"/>
          <w:sz w:val="24"/>
          <w:szCs w:val="24"/>
        </w:rPr>
        <w:t>19.磋商小组将对确定为实质性响应的磋商进行进一步审核，看其是否有计算上或累加上的算术错误，修正错误的原则如下：</w:t>
      </w:r>
    </w:p>
    <w:p w14:paraId="1D5BC8BF">
      <w:pPr>
        <w:snapToGrid w:val="0"/>
        <w:ind w:firstLine="480" w:firstLineChars="200"/>
        <w:rPr>
          <w:rFonts w:ascii="仿宋" w:hAnsi="仿宋" w:eastAsia="仿宋"/>
          <w:sz w:val="24"/>
          <w:szCs w:val="24"/>
        </w:rPr>
      </w:pPr>
      <w:r>
        <w:rPr>
          <w:rFonts w:hint="eastAsia" w:ascii="仿宋" w:hAnsi="仿宋" w:eastAsia="仿宋"/>
          <w:sz w:val="24"/>
          <w:szCs w:val="24"/>
        </w:rPr>
        <w:t>（1）如果用数字表示的金额和用文字表示的金额不一致时，应以文字表示的金额为准进行修正；</w:t>
      </w:r>
    </w:p>
    <w:p w14:paraId="0699BCE7">
      <w:pPr>
        <w:snapToGrid w:val="0"/>
        <w:ind w:firstLine="480" w:firstLineChars="200"/>
        <w:rPr>
          <w:rFonts w:ascii="仿宋" w:hAnsi="仿宋" w:eastAsia="仿宋"/>
          <w:sz w:val="24"/>
          <w:szCs w:val="24"/>
        </w:rPr>
      </w:pPr>
      <w:r>
        <w:rPr>
          <w:rFonts w:hint="eastAsia" w:ascii="仿宋" w:hAnsi="仿宋" w:eastAsia="仿宋"/>
          <w:sz w:val="24"/>
          <w:szCs w:val="24"/>
        </w:rPr>
        <w:t>（2）当单价与数量的乘积和总价不一致时，以单价为准进行修正。只有在磋商小组认为单价有明显的小数点错误时，才能以标出的总价为准，并修改单价。</w:t>
      </w:r>
    </w:p>
    <w:p w14:paraId="20D27A0A">
      <w:pPr>
        <w:snapToGrid w:val="0"/>
        <w:ind w:firstLine="480" w:firstLineChars="200"/>
        <w:rPr>
          <w:rFonts w:ascii="仿宋" w:hAnsi="仿宋" w:eastAsia="仿宋"/>
          <w:sz w:val="24"/>
          <w:szCs w:val="24"/>
        </w:rPr>
      </w:pPr>
      <w:r>
        <w:rPr>
          <w:rFonts w:hint="eastAsia" w:ascii="仿宋" w:hAnsi="仿宋" w:eastAsia="仿宋"/>
          <w:sz w:val="24"/>
          <w:szCs w:val="24"/>
        </w:rPr>
        <w:t>（3）磋商小组将按上述修正错误的方法调整磋商响应文件中的磋商报价，调整后的价格应对磋商响应供应商具有约束力。如果磋商响应供应商不接受修正后的价格，则其磋商将被拒绝，其磋商保证金将被没收。</w:t>
      </w:r>
    </w:p>
    <w:p w14:paraId="340915BA">
      <w:pPr>
        <w:snapToGrid w:val="0"/>
        <w:ind w:firstLine="480" w:firstLineChars="200"/>
        <w:rPr>
          <w:rFonts w:ascii="仿宋" w:hAnsi="仿宋" w:eastAsia="仿宋"/>
          <w:sz w:val="24"/>
          <w:szCs w:val="24"/>
        </w:rPr>
      </w:pPr>
      <w:r>
        <w:rPr>
          <w:rFonts w:hint="eastAsia" w:ascii="仿宋" w:hAnsi="仿宋" w:eastAsia="仿宋"/>
          <w:sz w:val="24"/>
          <w:szCs w:val="24"/>
        </w:rPr>
        <w:t>20.同一项目（项目未分包）或同一分包（项目有不同分包），如出现</w:t>
      </w:r>
      <w:r>
        <w:rPr>
          <w:rFonts w:ascii="仿宋" w:hAnsi="仿宋" w:eastAsia="仿宋"/>
          <w:sz w:val="24"/>
          <w:szCs w:val="24"/>
        </w:rPr>
        <w:t>同一品牌同一型号</w:t>
      </w:r>
      <w:r>
        <w:rPr>
          <w:rFonts w:hint="eastAsia" w:ascii="仿宋" w:hAnsi="仿宋" w:eastAsia="仿宋"/>
          <w:sz w:val="24"/>
          <w:szCs w:val="24"/>
        </w:rPr>
        <w:t>的</w:t>
      </w:r>
      <w:r>
        <w:rPr>
          <w:rFonts w:ascii="仿宋" w:hAnsi="仿宋" w:eastAsia="仿宋"/>
          <w:sz w:val="24"/>
          <w:szCs w:val="24"/>
        </w:rPr>
        <w:t>产品</w:t>
      </w:r>
      <w:r>
        <w:rPr>
          <w:rFonts w:hint="eastAsia" w:ascii="仿宋" w:hAnsi="仿宋" w:eastAsia="仿宋"/>
          <w:sz w:val="24"/>
          <w:szCs w:val="24"/>
        </w:rPr>
        <w:t>有多个供应商参加磋商时，磋商中在其他条件合格的前提下，选取报价最低的供应商参加磋商报价，其他供应商作为无效磋商响应处理。</w:t>
      </w:r>
    </w:p>
    <w:p w14:paraId="217A514F">
      <w:pPr>
        <w:snapToGrid w:val="0"/>
        <w:ind w:firstLine="480" w:firstLineChars="200"/>
        <w:rPr>
          <w:rFonts w:ascii="仿宋" w:hAnsi="仿宋" w:eastAsia="仿宋"/>
          <w:sz w:val="24"/>
          <w:szCs w:val="24"/>
        </w:rPr>
      </w:pPr>
      <w:r>
        <w:rPr>
          <w:rFonts w:hint="eastAsia" w:ascii="仿宋" w:hAnsi="仿宋" w:eastAsia="仿宋"/>
          <w:sz w:val="24"/>
          <w:szCs w:val="24"/>
        </w:rPr>
        <w:t>21.磋商小组在评审过程中发现磋商响应供应商存在下列情形之一的，可认定其有串通磋商行为，并做出其磋商无效的决定：</w:t>
      </w:r>
    </w:p>
    <w:p w14:paraId="274FE74F">
      <w:pPr>
        <w:snapToGrid w:val="0"/>
        <w:ind w:firstLine="480" w:firstLineChars="200"/>
        <w:rPr>
          <w:rFonts w:ascii="仿宋" w:hAnsi="仿宋" w:eastAsia="仿宋"/>
          <w:sz w:val="24"/>
          <w:szCs w:val="24"/>
        </w:rPr>
      </w:pPr>
      <w:r>
        <w:rPr>
          <w:rFonts w:hint="eastAsia" w:ascii="仿宋" w:hAnsi="仿宋" w:eastAsia="仿宋"/>
          <w:sz w:val="24"/>
          <w:szCs w:val="24"/>
        </w:rPr>
        <w:t>（1）磋商响应供应商之间协商磋商报价等磋商响应文件的实质性内容；</w:t>
      </w:r>
    </w:p>
    <w:p w14:paraId="73AD33CF">
      <w:pPr>
        <w:snapToGrid w:val="0"/>
        <w:ind w:firstLine="480" w:firstLineChars="200"/>
        <w:rPr>
          <w:rFonts w:ascii="仿宋" w:hAnsi="仿宋" w:eastAsia="仿宋"/>
          <w:sz w:val="24"/>
          <w:szCs w:val="24"/>
        </w:rPr>
      </w:pPr>
      <w:r>
        <w:rPr>
          <w:rFonts w:hint="eastAsia" w:ascii="仿宋" w:hAnsi="仿宋" w:eastAsia="仿宋"/>
          <w:sz w:val="24"/>
          <w:szCs w:val="24"/>
        </w:rPr>
        <w:t>（2）磋商响应供应商之间约定成交人；</w:t>
      </w:r>
    </w:p>
    <w:p w14:paraId="20396858">
      <w:pPr>
        <w:snapToGrid w:val="0"/>
        <w:ind w:firstLine="480" w:firstLineChars="200"/>
        <w:rPr>
          <w:rFonts w:ascii="仿宋" w:hAnsi="仿宋" w:eastAsia="仿宋"/>
          <w:sz w:val="24"/>
          <w:szCs w:val="24"/>
        </w:rPr>
      </w:pPr>
      <w:r>
        <w:rPr>
          <w:rFonts w:hint="eastAsia" w:ascii="仿宋" w:hAnsi="仿宋" w:eastAsia="仿宋"/>
          <w:sz w:val="24"/>
          <w:szCs w:val="24"/>
        </w:rPr>
        <w:t>（3）磋商响应供应商之间约定部分磋商响应供应商放弃磋商或者成交；</w:t>
      </w:r>
    </w:p>
    <w:p w14:paraId="71098A7E">
      <w:pPr>
        <w:snapToGrid w:val="0"/>
        <w:ind w:firstLine="480" w:firstLineChars="200"/>
        <w:rPr>
          <w:rFonts w:ascii="仿宋" w:hAnsi="仿宋" w:eastAsia="仿宋"/>
          <w:sz w:val="24"/>
          <w:szCs w:val="24"/>
        </w:rPr>
      </w:pPr>
      <w:r>
        <w:rPr>
          <w:rFonts w:hint="eastAsia" w:ascii="仿宋" w:hAnsi="仿宋" w:eastAsia="仿宋"/>
          <w:sz w:val="24"/>
          <w:szCs w:val="24"/>
        </w:rPr>
        <w:t>（4）属于同一集团、协会、商会等组织成员的磋商响应供应商按照该组织要求协同磋商；</w:t>
      </w:r>
    </w:p>
    <w:p w14:paraId="4FAE7357">
      <w:pPr>
        <w:snapToGrid w:val="0"/>
        <w:ind w:firstLine="480" w:firstLineChars="200"/>
        <w:rPr>
          <w:rFonts w:ascii="仿宋" w:hAnsi="仿宋" w:eastAsia="仿宋"/>
          <w:sz w:val="24"/>
          <w:szCs w:val="24"/>
        </w:rPr>
      </w:pPr>
      <w:r>
        <w:rPr>
          <w:rFonts w:hint="eastAsia" w:ascii="仿宋" w:hAnsi="仿宋" w:eastAsia="仿宋"/>
          <w:sz w:val="24"/>
          <w:szCs w:val="24"/>
        </w:rPr>
        <w:t>（5）磋商响应供应商之间为谋取成交或者排斥特定磋商响应供应商而采取的其他联合行动；</w:t>
      </w:r>
    </w:p>
    <w:p w14:paraId="3793096B">
      <w:pPr>
        <w:snapToGrid w:val="0"/>
        <w:ind w:firstLine="480" w:firstLineChars="200"/>
        <w:rPr>
          <w:rFonts w:ascii="仿宋" w:hAnsi="仿宋" w:eastAsia="仿宋"/>
          <w:sz w:val="24"/>
          <w:szCs w:val="24"/>
        </w:rPr>
      </w:pPr>
      <w:r>
        <w:rPr>
          <w:rFonts w:hint="eastAsia" w:ascii="仿宋" w:hAnsi="仿宋" w:eastAsia="仿宋"/>
          <w:sz w:val="24"/>
          <w:szCs w:val="24"/>
        </w:rPr>
        <w:t>（6）不同磋商响应供应商的磋商响应文件由同一单位或者个人编制；</w:t>
      </w:r>
    </w:p>
    <w:p w14:paraId="4A23ECAD">
      <w:pPr>
        <w:snapToGrid w:val="0"/>
        <w:ind w:firstLine="480" w:firstLineChars="200"/>
        <w:rPr>
          <w:rFonts w:ascii="仿宋" w:hAnsi="仿宋" w:eastAsia="仿宋"/>
          <w:sz w:val="24"/>
          <w:szCs w:val="24"/>
        </w:rPr>
      </w:pPr>
      <w:r>
        <w:rPr>
          <w:rFonts w:hint="eastAsia" w:ascii="仿宋" w:hAnsi="仿宋" w:eastAsia="仿宋"/>
          <w:sz w:val="24"/>
          <w:szCs w:val="24"/>
        </w:rPr>
        <w:t>（7）不同磋商响应供应商委托同一单位或者个人办理磋商事宜；</w:t>
      </w:r>
    </w:p>
    <w:p w14:paraId="3DF7731F">
      <w:pPr>
        <w:snapToGrid w:val="0"/>
        <w:ind w:firstLine="480" w:firstLineChars="200"/>
        <w:rPr>
          <w:rFonts w:ascii="仿宋" w:hAnsi="仿宋" w:eastAsia="仿宋"/>
          <w:sz w:val="24"/>
          <w:szCs w:val="24"/>
        </w:rPr>
      </w:pPr>
      <w:r>
        <w:rPr>
          <w:rFonts w:hint="eastAsia" w:ascii="仿宋" w:hAnsi="仿宋" w:eastAsia="仿宋"/>
          <w:sz w:val="24"/>
          <w:szCs w:val="24"/>
        </w:rPr>
        <w:t>（8）不同磋商响应供应商的磋商响应文件载明的项目管理成员为同一人；</w:t>
      </w:r>
    </w:p>
    <w:p w14:paraId="078E7920">
      <w:pPr>
        <w:snapToGrid w:val="0"/>
        <w:ind w:firstLine="480" w:firstLineChars="200"/>
        <w:rPr>
          <w:rFonts w:ascii="仿宋" w:hAnsi="仿宋" w:eastAsia="仿宋"/>
          <w:sz w:val="24"/>
          <w:szCs w:val="24"/>
        </w:rPr>
      </w:pPr>
      <w:r>
        <w:rPr>
          <w:rFonts w:hint="eastAsia" w:ascii="仿宋" w:hAnsi="仿宋" w:eastAsia="仿宋"/>
          <w:sz w:val="24"/>
          <w:szCs w:val="24"/>
        </w:rPr>
        <w:t>（9）不同磋商响应供应商的磋商响应文件异常一致或者磋商报价呈规律性差异；</w:t>
      </w:r>
    </w:p>
    <w:p w14:paraId="4C07D91E">
      <w:pPr>
        <w:snapToGrid w:val="0"/>
        <w:ind w:firstLine="480" w:firstLineChars="200"/>
        <w:rPr>
          <w:rFonts w:ascii="仿宋" w:hAnsi="仿宋" w:eastAsia="仿宋"/>
          <w:sz w:val="24"/>
          <w:szCs w:val="24"/>
        </w:rPr>
      </w:pPr>
      <w:r>
        <w:rPr>
          <w:rFonts w:hint="eastAsia" w:ascii="仿宋" w:hAnsi="仿宋" w:eastAsia="仿宋"/>
          <w:sz w:val="24"/>
          <w:szCs w:val="24"/>
        </w:rPr>
        <w:t>（10）不同磋商响应供应商的磋商响应文件相互混装；</w:t>
      </w:r>
    </w:p>
    <w:p w14:paraId="0114C32F">
      <w:pPr>
        <w:snapToGrid w:val="0"/>
        <w:ind w:firstLine="480" w:firstLineChars="200"/>
        <w:rPr>
          <w:rFonts w:ascii="仿宋" w:hAnsi="仿宋" w:eastAsia="仿宋"/>
          <w:sz w:val="24"/>
          <w:szCs w:val="24"/>
        </w:rPr>
      </w:pPr>
      <w:r>
        <w:rPr>
          <w:rFonts w:hint="eastAsia" w:ascii="仿宋" w:hAnsi="仿宋" w:eastAsia="仿宋"/>
          <w:sz w:val="24"/>
          <w:szCs w:val="24"/>
        </w:rPr>
        <w:t>（11）不同磋商响应供应商的磋商保证金从同一单位或者个人的账户转出；</w:t>
      </w:r>
    </w:p>
    <w:p w14:paraId="11EF225C">
      <w:pPr>
        <w:snapToGrid w:val="0"/>
        <w:ind w:firstLine="480" w:firstLineChars="200"/>
        <w:rPr>
          <w:rFonts w:ascii="仿宋" w:hAnsi="仿宋" w:eastAsia="仿宋"/>
          <w:sz w:val="24"/>
          <w:szCs w:val="24"/>
        </w:rPr>
      </w:pPr>
      <w:r>
        <w:rPr>
          <w:rFonts w:hint="eastAsia" w:ascii="仿宋" w:hAnsi="仿宋" w:eastAsia="仿宋"/>
          <w:sz w:val="24"/>
          <w:szCs w:val="24"/>
        </w:rPr>
        <w:t>（12）法律、法规或规章规定的其他串通磋商行为。</w:t>
      </w:r>
    </w:p>
    <w:p w14:paraId="417A49E6">
      <w:pPr>
        <w:snapToGrid w:val="0"/>
        <w:ind w:firstLine="480" w:firstLineChars="200"/>
        <w:rPr>
          <w:rFonts w:ascii="仿宋" w:hAnsi="仿宋" w:eastAsia="仿宋"/>
          <w:sz w:val="24"/>
          <w:szCs w:val="24"/>
        </w:rPr>
      </w:pPr>
      <w:bookmarkStart w:id="35" w:name="_Toc16938551"/>
      <w:bookmarkStart w:id="36" w:name="_Toc20823307"/>
      <w:bookmarkStart w:id="37" w:name="_Toc513029235"/>
      <w:r>
        <w:rPr>
          <w:rFonts w:hint="eastAsia" w:ascii="仿宋" w:hAnsi="仿宋" w:eastAsia="仿宋"/>
          <w:sz w:val="24"/>
          <w:szCs w:val="24"/>
        </w:rPr>
        <w:t>22.对漏（缺）报项的处理：磋商文件中要求列入报价的费用（含配置、功能），漏（缺）报的视同已含在磋商总价中。但在评标时取有效磋商响应供应商该项最高报价加入评标价进行评标。对多报项及赠送项的价格评标时不予核减，全部进入评标价评议。</w:t>
      </w:r>
    </w:p>
    <w:p w14:paraId="66E7E0D9">
      <w:pPr>
        <w:snapToGrid w:val="0"/>
        <w:ind w:firstLine="480" w:firstLineChars="200"/>
        <w:rPr>
          <w:rFonts w:ascii="仿宋" w:hAnsi="仿宋" w:eastAsia="仿宋"/>
          <w:sz w:val="24"/>
          <w:szCs w:val="24"/>
        </w:rPr>
      </w:pPr>
      <w:r>
        <w:rPr>
          <w:rFonts w:hint="eastAsia" w:ascii="仿宋" w:hAnsi="仿宋" w:eastAsia="仿宋"/>
          <w:sz w:val="24"/>
          <w:szCs w:val="24"/>
        </w:rPr>
        <w:t>23.若磋商响应供应商的报价明显低于其他报价，使得其磋商报价可能低于其个别成本的，有可能影响商品质量或不能诚信履约的，磋商小组应要求磋商响应供应商作出书面说明并提供相关证明材料，磋商响应供应商不能合理说明或不能提供相关证明材料的，作无效磋商处理。</w:t>
      </w:r>
    </w:p>
    <w:p w14:paraId="072DB8EA">
      <w:pPr>
        <w:widowControl/>
        <w:snapToGrid w:val="0"/>
        <w:ind w:firstLine="480" w:firstLineChars="200"/>
        <w:rPr>
          <w:rFonts w:ascii="仿宋" w:hAnsi="仿宋" w:eastAsia="仿宋"/>
          <w:sz w:val="24"/>
          <w:szCs w:val="24"/>
        </w:rPr>
      </w:pPr>
      <w:r>
        <w:rPr>
          <w:rFonts w:hint="eastAsia" w:ascii="仿宋" w:hAnsi="仿宋" w:eastAsia="仿宋"/>
          <w:sz w:val="24"/>
          <w:szCs w:val="24"/>
        </w:rPr>
        <w:t>24.在磋商过程中，磋商小组可以根据磋商文件和磋商情况实质性变动采购需求中的技术、服务要求以及合同草案条款，但不得变动磋商文件中的其他内容。实质性变动的内容，须经采购人代表确认。</w:t>
      </w:r>
    </w:p>
    <w:p w14:paraId="15A389B9">
      <w:pPr>
        <w:widowControl/>
        <w:snapToGrid w:val="0"/>
        <w:rPr>
          <w:rFonts w:ascii="仿宋" w:hAnsi="仿宋" w:eastAsia="仿宋"/>
          <w:sz w:val="24"/>
          <w:szCs w:val="24"/>
        </w:rPr>
      </w:pPr>
      <w:r>
        <w:rPr>
          <w:rFonts w:hint="eastAsia" w:ascii="仿宋" w:hAnsi="仿宋" w:eastAsia="仿宋"/>
          <w:sz w:val="24"/>
          <w:szCs w:val="24"/>
        </w:rPr>
        <w:t>　　对磋商文件作出的实质性变动是磋商文件的有效组成部分，磋商小组应当及时以书面形式同时通知所有参加磋商的供应商。</w:t>
      </w:r>
    </w:p>
    <w:p w14:paraId="3B61081A">
      <w:pPr>
        <w:snapToGrid w:val="0"/>
        <w:ind w:firstLine="480" w:firstLineChars="200"/>
        <w:rPr>
          <w:rFonts w:ascii="仿宋" w:hAnsi="仿宋" w:eastAsia="仿宋"/>
          <w:sz w:val="24"/>
          <w:szCs w:val="24"/>
        </w:rPr>
      </w:pPr>
      <w:r>
        <w:rPr>
          <w:rFonts w:hint="eastAsia" w:ascii="仿宋" w:hAnsi="仿宋" w:eastAsia="仿宋"/>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357E640C">
      <w:pPr>
        <w:snapToGrid w:val="0"/>
        <w:ind w:firstLine="480" w:firstLineChars="200"/>
        <w:rPr>
          <w:rFonts w:ascii="仿宋" w:hAnsi="仿宋" w:eastAsia="仿宋"/>
          <w:sz w:val="24"/>
          <w:szCs w:val="24"/>
        </w:rPr>
      </w:pPr>
      <w:r>
        <w:rPr>
          <w:rFonts w:hint="eastAsia" w:ascii="仿宋" w:hAnsi="仿宋" w:eastAsia="仿宋"/>
          <w:sz w:val="24"/>
          <w:szCs w:val="24"/>
        </w:rPr>
        <w:t>25.磋商文件能够详细列明采购标的的技术、服务要求的，磋商结束后，磋商小组应当要求所有实质性响应的供应商在规定时间内提交后报价，提交最后报价的供应商不得少于3家。</w:t>
      </w:r>
      <w:r>
        <w:rPr>
          <w:rFonts w:hint="eastAsia" w:ascii="仿宋" w:hAnsi="仿宋" w:eastAsia="仿宋"/>
          <w:sz w:val="24"/>
          <w:szCs w:val="24"/>
          <w:u w:val="single"/>
        </w:rPr>
        <w:t>（除符合《财政部关于政府竞争性磋商采购方式管理暂行办法有关问题的补充通知》要求可以为2家）</w:t>
      </w:r>
    </w:p>
    <w:p w14:paraId="5A47ED36">
      <w:pPr>
        <w:snapToGrid w:val="0"/>
        <w:ind w:firstLine="480" w:firstLineChars="200"/>
        <w:rPr>
          <w:rFonts w:ascii="仿宋" w:hAnsi="仿宋" w:eastAsia="仿宋"/>
          <w:sz w:val="24"/>
          <w:szCs w:val="24"/>
        </w:rPr>
      </w:pPr>
      <w:r>
        <w:rPr>
          <w:rFonts w:hint="eastAsia" w:ascii="仿宋" w:hAnsi="仿宋" w:eastAsia="仿宋"/>
          <w:sz w:val="24"/>
          <w:szCs w:val="24"/>
        </w:rPr>
        <w:t>26.拒绝低于成本或超低价的恶意报价，经评委会认定为恶意报价的拒绝其磋商，其恶意应标行为上报监督管理部门，按《政府采购法》及相关法律法规规定处罚，其磋商保证金不予退还。</w:t>
      </w:r>
    </w:p>
    <w:p w14:paraId="18599B46">
      <w:pPr>
        <w:snapToGrid w:val="0"/>
        <w:ind w:firstLine="480" w:firstLineChars="200"/>
        <w:rPr>
          <w:rFonts w:ascii="仿宋" w:hAnsi="仿宋" w:eastAsia="仿宋"/>
          <w:sz w:val="24"/>
          <w:szCs w:val="24"/>
        </w:rPr>
      </w:pPr>
      <w:r>
        <w:rPr>
          <w:rFonts w:hint="eastAsia" w:ascii="仿宋" w:hAnsi="仿宋" w:eastAsia="仿宋"/>
          <w:sz w:val="24"/>
          <w:szCs w:val="24"/>
        </w:rPr>
        <w:t>27.磋商响应供应商应按磋商报价一览表和分项价格表的内容和格式要求逐项填写各项货物及服务的分项价格和总价。磋商报价为采购人指定地点的现场交货价。采购人不再向成交供应商支付其磋商报价之外的任何费用。磋商总价中不得包含磋商文件要求以外的内容，否则，在评标时不予核减。报价表中不得缺漏磋商文件所要求的内容，否则，在评标时将其视为无效磋商。</w:t>
      </w:r>
    </w:p>
    <w:p w14:paraId="0AF86A64">
      <w:pPr>
        <w:snapToGrid w:val="0"/>
        <w:ind w:firstLine="480" w:firstLineChars="200"/>
        <w:rPr>
          <w:rFonts w:ascii="仿宋" w:hAnsi="仿宋" w:eastAsia="仿宋"/>
          <w:sz w:val="24"/>
          <w:szCs w:val="24"/>
        </w:rPr>
      </w:pPr>
      <w:r>
        <w:rPr>
          <w:rFonts w:hint="eastAsia" w:ascii="仿宋" w:hAnsi="仿宋" w:eastAsia="仿宋"/>
          <w:sz w:val="24"/>
          <w:szCs w:val="24"/>
        </w:rPr>
        <w:t>28.除磋商响应文件允许提交备选方案外，磋商响应供应商对每种货物及服务每次只允许有一个报价，不接受选择性报价，否则，在评标时将其视为无效磋商。</w:t>
      </w:r>
    </w:p>
    <w:p w14:paraId="3DB71AF4">
      <w:pPr>
        <w:snapToGrid w:val="0"/>
        <w:ind w:firstLine="480" w:firstLineChars="200"/>
        <w:rPr>
          <w:rFonts w:ascii="仿宋" w:hAnsi="仿宋" w:eastAsia="仿宋"/>
          <w:sz w:val="24"/>
          <w:szCs w:val="24"/>
        </w:rPr>
      </w:pPr>
      <w:r>
        <w:rPr>
          <w:rFonts w:hint="eastAsia" w:ascii="仿宋" w:hAnsi="仿宋" w:eastAsia="仿宋"/>
          <w:sz w:val="24"/>
          <w:szCs w:val="24"/>
        </w:rPr>
        <w:t>29.磋商响应供应商的磋商报价不得超过采购项目预算，否则为无效磋商。</w:t>
      </w:r>
    </w:p>
    <w:p w14:paraId="456A3D25">
      <w:pPr>
        <w:snapToGrid w:val="0"/>
        <w:ind w:firstLine="480" w:firstLineChars="200"/>
        <w:rPr>
          <w:rFonts w:ascii="仿宋" w:hAnsi="仿宋" w:eastAsia="仿宋"/>
          <w:sz w:val="24"/>
          <w:szCs w:val="24"/>
        </w:rPr>
      </w:pPr>
      <w:r>
        <w:rPr>
          <w:rFonts w:hint="eastAsia" w:ascii="仿宋" w:hAnsi="仿宋" w:eastAsia="仿宋"/>
          <w:sz w:val="24"/>
          <w:szCs w:val="24"/>
        </w:rPr>
        <w:t>30.磋商响应文件中标明的价格在合同执行过程中是固定不变的，不得以任何理由予以变更。任何包含价格调整要求和条件的磋商，在评标时将其视为无效磋商。</w:t>
      </w:r>
    </w:p>
    <w:p w14:paraId="314356EF">
      <w:pPr>
        <w:snapToGrid w:val="0"/>
        <w:ind w:firstLine="480" w:firstLineChars="200"/>
        <w:rPr>
          <w:rFonts w:ascii="仿宋" w:hAnsi="仿宋" w:eastAsia="仿宋"/>
          <w:sz w:val="24"/>
          <w:szCs w:val="24"/>
        </w:rPr>
      </w:pPr>
      <w:r>
        <w:rPr>
          <w:rFonts w:hint="eastAsia" w:ascii="仿宋" w:hAnsi="仿宋" w:eastAsia="仿宋"/>
          <w:sz w:val="24"/>
          <w:szCs w:val="24"/>
        </w:rPr>
        <w:t>31.磋商响应供应商的价格折扣（价格变更声明）应直接在磋商报价一览表的磋商报价中给出。</w:t>
      </w:r>
    </w:p>
    <w:p w14:paraId="3E178FB8">
      <w:pPr>
        <w:snapToGrid w:val="0"/>
        <w:ind w:firstLine="480" w:firstLineChars="200"/>
        <w:rPr>
          <w:rFonts w:ascii="仿宋" w:hAnsi="仿宋" w:eastAsia="仿宋"/>
          <w:sz w:val="24"/>
          <w:szCs w:val="24"/>
        </w:rPr>
      </w:pPr>
      <w:r>
        <w:rPr>
          <w:rFonts w:hint="eastAsia" w:ascii="仿宋" w:hAnsi="仿宋" w:eastAsia="仿宋"/>
          <w:sz w:val="24"/>
          <w:szCs w:val="24"/>
        </w:rPr>
        <w:t>32.采购人确定成交供应商后，采购人或者代理机构将在“南通师范高等专科学校官网”、“南通教育网”发布成交结果公告，公告期限为1个工作日。</w:t>
      </w:r>
    </w:p>
    <w:p w14:paraId="7FD267A5">
      <w:pPr>
        <w:snapToGrid w:val="0"/>
        <w:ind w:firstLine="480" w:firstLineChars="200"/>
        <w:rPr>
          <w:rFonts w:ascii="黑体" w:hAnsi="黑体" w:eastAsia="黑体"/>
          <w:bCs/>
          <w:sz w:val="24"/>
          <w:szCs w:val="24"/>
        </w:rPr>
      </w:pPr>
      <w:r>
        <w:rPr>
          <w:rFonts w:hint="eastAsia" w:ascii="黑体" w:hAnsi="黑体" w:eastAsia="黑体"/>
          <w:bCs/>
          <w:sz w:val="24"/>
          <w:szCs w:val="24"/>
        </w:rPr>
        <w:t>六、政府采购政策功能落实</w:t>
      </w:r>
    </w:p>
    <w:p w14:paraId="5B768B91">
      <w:pPr>
        <w:snapToGrid w:val="0"/>
        <w:ind w:firstLine="480" w:firstLineChars="200"/>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1.小微型企业价格扣除</w:t>
      </w:r>
    </w:p>
    <w:p w14:paraId="6B3428B2">
      <w:pPr>
        <w:snapToGrid w:val="0"/>
        <w:ind w:firstLine="480" w:firstLineChars="200"/>
        <w:rPr>
          <w:rFonts w:ascii="仿宋" w:hAnsi="仿宋" w:eastAsia="仿宋"/>
          <w:sz w:val="24"/>
          <w:szCs w:val="24"/>
        </w:rPr>
      </w:pPr>
      <w:r>
        <w:rPr>
          <w:rFonts w:hint="eastAsia" w:ascii="仿宋" w:hAnsi="仿宋" w:eastAsia="仿宋"/>
          <w:sz w:val="24"/>
          <w:szCs w:val="24"/>
        </w:rPr>
        <w:t>根据财政部、工信部印发的《政府采购促进中小企业发展暂行办法》（财库〔2011〕181号）、江苏省财政厅《关于新冠肺炎疫情防控期间加大政府采购支持中小微企业力度的通知》（苏财购〔2020〕19号）文件精神，对于非专门面向中小企业的项目，对小型和微型企业产品的价格给予 10% 的扣除，用扣除后的价格参与价格分的评审。（即所投品目号产品属于小型和微型企业产品的，按其品目号的合计投标价格的10%进行扣除，若所提供的属于小型和微型企业产品仅是构成投标产品的部件、组件或零件的，则该投标产品不享受该政策）。</w:t>
      </w:r>
    </w:p>
    <w:p w14:paraId="2C93D77B">
      <w:pPr>
        <w:snapToGrid w:val="0"/>
        <w:ind w:firstLine="480" w:firstLineChars="200"/>
        <w:rPr>
          <w:rFonts w:ascii="仿宋" w:hAnsi="仿宋" w:eastAsia="仿宋"/>
          <w:sz w:val="24"/>
          <w:szCs w:val="24"/>
        </w:rPr>
      </w:pPr>
      <w:r>
        <w:rPr>
          <w:rFonts w:hint="eastAsia" w:ascii="仿宋" w:hAnsi="仿宋" w:eastAsia="仿宋"/>
          <w:sz w:val="24"/>
          <w:szCs w:val="24"/>
        </w:rPr>
        <w:t>（1）本项目对小型和微型企业产品给予10%的扣除价格，用扣除后的价格参与评审。</w:t>
      </w:r>
    </w:p>
    <w:p w14:paraId="24400F5B">
      <w:pPr>
        <w:snapToGrid w:val="0"/>
        <w:ind w:firstLine="480" w:firstLineChars="200"/>
        <w:rPr>
          <w:rFonts w:ascii="仿宋" w:hAnsi="仿宋" w:eastAsia="仿宋"/>
          <w:sz w:val="24"/>
          <w:szCs w:val="24"/>
        </w:rPr>
      </w:pPr>
      <w:r>
        <w:rPr>
          <w:rFonts w:hint="eastAsia" w:ascii="仿宋" w:hAnsi="仿宋" w:eastAsia="仿宋"/>
          <w:sz w:val="24"/>
          <w:szCs w:val="24"/>
        </w:rPr>
        <w:t>（2）供应商需按照采购文件的要求提供相应的《企业声明函》。</w:t>
      </w:r>
    </w:p>
    <w:p w14:paraId="2E1B2D86">
      <w:pPr>
        <w:snapToGrid w:val="0"/>
        <w:ind w:firstLine="480" w:firstLineChars="200"/>
        <w:rPr>
          <w:rFonts w:ascii="仿宋" w:hAnsi="仿宋" w:eastAsia="仿宋"/>
          <w:sz w:val="24"/>
          <w:szCs w:val="24"/>
        </w:rPr>
      </w:pPr>
      <w:r>
        <w:rPr>
          <w:rFonts w:hint="eastAsia" w:ascii="仿宋" w:hAnsi="仿宋" w:eastAsia="仿宋"/>
          <w:sz w:val="24"/>
          <w:szCs w:val="24"/>
        </w:rPr>
        <w:t>（3）企业标准请参照《关于印发中小企业划型标准规定的通知》（工信部联企业〔2011〕300号）文件规定自行填写。</w:t>
      </w:r>
    </w:p>
    <w:p w14:paraId="032E9F31">
      <w:pPr>
        <w:snapToGrid w:val="0"/>
        <w:ind w:firstLine="480" w:firstLineChars="200"/>
        <w:rPr>
          <w:rFonts w:ascii="仿宋" w:hAnsi="仿宋" w:eastAsia="仿宋"/>
          <w:sz w:val="24"/>
          <w:szCs w:val="24"/>
        </w:rPr>
      </w:pPr>
      <w:r>
        <w:rPr>
          <w:rFonts w:hint="eastAsia" w:ascii="仿宋" w:hAnsi="仿宋" w:eastAsia="仿宋"/>
          <w:sz w:val="24"/>
          <w:szCs w:val="24"/>
        </w:rPr>
        <w:t xml:space="preserve"> 享受价格扣除的投标人应当同时符合以下条件：</w:t>
      </w:r>
    </w:p>
    <w:p w14:paraId="16F83DE5">
      <w:pPr>
        <w:snapToGrid w:val="0"/>
        <w:ind w:firstLine="480" w:firstLineChars="200"/>
        <w:rPr>
          <w:rFonts w:ascii="仿宋" w:hAnsi="仿宋" w:eastAsia="仿宋"/>
          <w:sz w:val="24"/>
          <w:szCs w:val="24"/>
        </w:rPr>
      </w:pPr>
      <w:r>
        <w:rPr>
          <w:rFonts w:hint="eastAsia" w:ascii="仿宋" w:hAnsi="仿宋" w:eastAsia="仿宋"/>
          <w:sz w:val="24"/>
          <w:szCs w:val="24"/>
        </w:rPr>
        <w:t xml:space="preserve">①符合《中小企业划分标准》中的小、微企业标准（工信部联企业〔2011〕300号）； </w:t>
      </w:r>
    </w:p>
    <w:p w14:paraId="0DE691A1">
      <w:pPr>
        <w:snapToGrid w:val="0"/>
        <w:ind w:firstLine="480" w:firstLineChars="200"/>
        <w:rPr>
          <w:rFonts w:ascii="仿宋" w:hAnsi="仿宋" w:eastAsia="仿宋"/>
          <w:sz w:val="24"/>
          <w:szCs w:val="24"/>
        </w:rPr>
      </w:pPr>
      <w:r>
        <w:rPr>
          <w:rFonts w:hint="eastAsia" w:ascii="仿宋" w:hAnsi="仿宋" w:eastAsia="仿宋"/>
          <w:sz w:val="24"/>
          <w:szCs w:val="24"/>
        </w:rPr>
        <w:t>②提供本企业制造的货物、承担的工程或者服务，或者提供其他中小企业制造的货物。</w:t>
      </w:r>
    </w:p>
    <w:p w14:paraId="20528F0C">
      <w:pPr>
        <w:snapToGrid w:val="0"/>
        <w:ind w:firstLine="480" w:firstLineChars="200"/>
        <w:rPr>
          <w:rFonts w:ascii="仿宋" w:hAnsi="仿宋" w:eastAsia="仿宋"/>
          <w:sz w:val="24"/>
          <w:szCs w:val="24"/>
        </w:rPr>
      </w:pPr>
      <w:r>
        <w:rPr>
          <w:rFonts w:hint="eastAsia" w:ascii="仿宋" w:hAnsi="仿宋" w:eastAsia="仿宋"/>
          <w:sz w:val="24"/>
          <w:szCs w:val="24"/>
        </w:rPr>
        <w:t>联合体是否享受该扶持政策的规定：（招标文件规定拒绝联合体投标的项目不适用于此款规定）。</w:t>
      </w:r>
    </w:p>
    <w:p w14:paraId="53AB2D6A">
      <w:pPr>
        <w:snapToGrid w:val="0"/>
        <w:ind w:firstLine="480" w:firstLineChars="200"/>
        <w:rPr>
          <w:rFonts w:ascii="仿宋" w:hAnsi="仿宋" w:eastAsia="仿宋"/>
          <w:sz w:val="24"/>
          <w:szCs w:val="24"/>
        </w:rPr>
      </w:pPr>
      <w:r>
        <w:rPr>
          <w:rFonts w:hint="eastAsia" w:ascii="仿宋" w:hAnsi="仿宋" w:eastAsia="仿宋"/>
          <w:sz w:val="24"/>
          <w:szCs w:val="24"/>
        </w:rPr>
        <w:t>①联合体各方均为小型、微型企业的，联合体视同为小型、微型企业享受规定的扶持政策。</w:t>
      </w:r>
    </w:p>
    <w:p w14:paraId="7E736F36">
      <w:pPr>
        <w:snapToGrid w:val="0"/>
        <w:ind w:firstLine="480" w:firstLineChars="200"/>
        <w:rPr>
          <w:rFonts w:ascii="仿宋" w:hAnsi="仿宋" w:eastAsia="仿宋"/>
          <w:sz w:val="24"/>
          <w:szCs w:val="24"/>
        </w:rPr>
      </w:pPr>
      <w:r>
        <w:rPr>
          <w:rFonts w:hint="eastAsia" w:ascii="仿宋" w:hAnsi="仿宋" w:eastAsia="仿宋"/>
          <w:sz w:val="24"/>
          <w:szCs w:val="24"/>
        </w:rPr>
        <w:t>②大中型企业和其他自然人、法人或者其他组织与小型、微型企业组成联合体共同参加非专门面向中小企业的政府采购活动的，其联合协议中约定小型、微型企业的协议合同金额占到联合体协议合同总金额30%以上的，可给予联合体2%的价格扣除。</w:t>
      </w:r>
    </w:p>
    <w:p w14:paraId="44729180">
      <w:pPr>
        <w:snapToGrid w:val="0"/>
        <w:ind w:firstLine="480" w:firstLineChars="200"/>
        <w:rPr>
          <w:rFonts w:ascii="仿宋" w:hAnsi="仿宋" w:eastAsia="仿宋"/>
          <w:sz w:val="24"/>
          <w:szCs w:val="24"/>
        </w:rPr>
      </w:pPr>
      <w:r>
        <w:rPr>
          <w:rFonts w:hint="eastAsia" w:ascii="仿宋" w:hAnsi="仿宋" w:eastAsia="仿宋"/>
          <w:sz w:val="24"/>
          <w:szCs w:val="24"/>
        </w:rPr>
        <w:t>下述情形，不享受中小企业优惠政策：</w:t>
      </w:r>
    </w:p>
    <w:p w14:paraId="3C8FCE0D">
      <w:pPr>
        <w:snapToGrid w:val="0"/>
        <w:ind w:firstLine="480" w:firstLineChars="200"/>
        <w:rPr>
          <w:rFonts w:ascii="仿宋" w:hAnsi="仿宋" w:eastAsia="仿宋"/>
          <w:sz w:val="24"/>
          <w:szCs w:val="24"/>
        </w:rPr>
      </w:pPr>
      <w:r>
        <w:rPr>
          <w:rFonts w:hint="eastAsia" w:ascii="仿宋" w:hAnsi="仿宋" w:eastAsia="仿宋"/>
          <w:sz w:val="24"/>
          <w:szCs w:val="24"/>
        </w:rPr>
        <w:t>①投标产品为进口产品的；</w:t>
      </w:r>
    </w:p>
    <w:p w14:paraId="02D1216D">
      <w:pPr>
        <w:snapToGrid w:val="0"/>
        <w:ind w:firstLine="480" w:firstLineChars="200"/>
        <w:rPr>
          <w:rFonts w:ascii="仿宋" w:hAnsi="仿宋" w:eastAsia="仿宋"/>
          <w:sz w:val="24"/>
          <w:szCs w:val="24"/>
        </w:rPr>
      </w:pPr>
      <w:r>
        <w:rPr>
          <w:rFonts w:hint="eastAsia" w:ascii="仿宋" w:hAnsi="仿宋" w:eastAsia="仿宋"/>
          <w:sz w:val="24"/>
          <w:szCs w:val="24"/>
        </w:rPr>
        <w:t>②组成联合体的大中型企业和其他自然人、法人或者其他组织，与小型、微型企业之间存在投资关系的；</w:t>
      </w:r>
    </w:p>
    <w:p w14:paraId="59D4E2A5">
      <w:pPr>
        <w:snapToGrid w:val="0"/>
        <w:ind w:firstLine="480" w:firstLineChars="200"/>
        <w:rPr>
          <w:rFonts w:ascii="仿宋" w:hAnsi="仿宋" w:eastAsia="仿宋"/>
          <w:sz w:val="24"/>
          <w:szCs w:val="24"/>
        </w:rPr>
      </w:pPr>
      <w:r>
        <w:rPr>
          <w:rFonts w:hint="eastAsia" w:ascii="仿宋" w:hAnsi="仿宋" w:eastAsia="仿宋"/>
          <w:sz w:val="24"/>
          <w:szCs w:val="24"/>
        </w:rPr>
        <w:t>③小型、微型企业将获得政府采购合同分包或转包给大型、中型企业，中型企业分包或转包给大型企业的；</w:t>
      </w:r>
    </w:p>
    <w:p w14:paraId="21A4C8DB">
      <w:pPr>
        <w:snapToGrid w:val="0"/>
        <w:ind w:firstLine="480" w:firstLineChars="200"/>
        <w:rPr>
          <w:rFonts w:ascii="仿宋" w:hAnsi="仿宋" w:eastAsia="仿宋"/>
          <w:sz w:val="24"/>
          <w:szCs w:val="24"/>
        </w:rPr>
      </w:pPr>
      <w:r>
        <w:rPr>
          <w:rFonts w:hint="eastAsia" w:ascii="仿宋" w:hAnsi="仿宋" w:eastAsia="仿宋"/>
          <w:sz w:val="24"/>
          <w:szCs w:val="24"/>
        </w:rPr>
        <w:t>④中型企业不享受该项优惠政策。小型、微型企业提供中型企业制造的货物的，视同为中型企业。</w:t>
      </w:r>
    </w:p>
    <w:p w14:paraId="23940B82">
      <w:pPr>
        <w:snapToGrid w:val="0"/>
        <w:ind w:firstLine="480" w:firstLineChars="200"/>
        <w:rPr>
          <w:rFonts w:ascii="仿宋" w:hAnsi="仿宋" w:eastAsia="仿宋"/>
          <w:sz w:val="24"/>
          <w:szCs w:val="24"/>
        </w:rPr>
      </w:pPr>
      <w:r>
        <w:rPr>
          <w:rFonts w:hint="eastAsia" w:ascii="仿宋" w:hAnsi="仿宋" w:eastAsia="仿宋"/>
          <w:sz w:val="24"/>
          <w:szCs w:val="24"/>
        </w:rPr>
        <w:t>⑤投标产品为使用大型企业注册商标的货物的。</w:t>
      </w:r>
    </w:p>
    <w:p w14:paraId="05D923B0">
      <w:pPr>
        <w:snapToGrid w:val="0"/>
        <w:ind w:firstLine="480" w:firstLineChars="200"/>
        <w:rPr>
          <w:rFonts w:ascii="仿宋" w:hAnsi="仿宋" w:eastAsia="仿宋"/>
          <w:sz w:val="24"/>
          <w:szCs w:val="24"/>
        </w:rPr>
      </w:pPr>
      <w:r>
        <w:rPr>
          <w:rFonts w:hint="eastAsia" w:ascii="仿宋" w:hAnsi="仿宋" w:eastAsia="仿宋"/>
          <w:sz w:val="24"/>
          <w:szCs w:val="24"/>
        </w:rPr>
        <w:t>投标人应提供下述证明材料：未提供或提供的证明材料不符合规定的不予价格扣除。</w:t>
      </w:r>
    </w:p>
    <w:p w14:paraId="549B94B1">
      <w:pPr>
        <w:snapToGrid w:val="0"/>
        <w:ind w:firstLine="480" w:firstLineChars="200"/>
        <w:rPr>
          <w:rFonts w:ascii="仿宋" w:hAnsi="仿宋" w:eastAsia="仿宋"/>
          <w:sz w:val="24"/>
          <w:szCs w:val="24"/>
        </w:rPr>
      </w:pPr>
      <w:r>
        <w:rPr>
          <w:rFonts w:hint="eastAsia" w:ascii="仿宋" w:hAnsi="仿宋" w:eastAsia="仿宋"/>
          <w:sz w:val="24"/>
          <w:szCs w:val="24"/>
        </w:rPr>
        <w:t>2.残疾人福利单位价格扣除</w:t>
      </w:r>
    </w:p>
    <w:p w14:paraId="72CF45A1">
      <w:pPr>
        <w:snapToGrid w:val="0"/>
        <w:ind w:firstLine="480" w:firstLineChars="200"/>
        <w:rPr>
          <w:rFonts w:ascii="仿宋" w:hAnsi="仿宋" w:eastAsia="仿宋"/>
          <w:sz w:val="24"/>
          <w:szCs w:val="24"/>
        </w:rPr>
      </w:pPr>
      <w:r>
        <w:rPr>
          <w:rFonts w:hint="eastAsia" w:ascii="仿宋" w:hAnsi="仿宋" w:eastAsia="仿宋"/>
          <w:sz w:val="24"/>
          <w:szCs w:val="24"/>
        </w:rPr>
        <w:t>（1）本项目对残疾人福利性单位产品，给予6%的价格扣除，用扣除后的价格参与评审。</w:t>
      </w:r>
    </w:p>
    <w:p w14:paraId="271F3EB4">
      <w:pPr>
        <w:snapToGrid w:val="0"/>
        <w:ind w:firstLine="480" w:firstLineChars="200"/>
        <w:rPr>
          <w:rFonts w:ascii="仿宋" w:hAnsi="仿宋" w:eastAsia="仿宋"/>
          <w:sz w:val="24"/>
          <w:szCs w:val="24"/>
        </w:rPr>
      </w:pPr>
      <w:r>
        <w:rPr>
          <w:rFonts w:hint="eastAsia" w:ascii="仿宋" w:hAnsi="仿宋" w:eastAsia="仿宋"/>
          <w:sz w:val="24"/>
          <w:szCs w:val="24"/>
        </w:rPr>
        <w:t>（2）残疾人福利单位需按照采购文件的要求提供《残疾人福利性单位声明函》。</w:t>
      </w:r>
    </w:p>
    <w:p w14:paraId="6D1F3ADC">
      <w:pPr>
        <w:snapToGrid w:val="0"/>
        <w:ind w:firstLine="480" w:firstLineChars="200"/>
        <w:rPr>
          <w:rFonts w:ascii="仿宋" w:hAnsi="仿宋" w:eastAsia="仿宋"/>
          <w:sz w:val="24"/>
          <w:szCs w:val="24"/>
        </w:rPr>
      </w:pPr>
      <w:r>
        <w:rPr>
          <w:rFonts w:hint="eastAsia" w:ascii="仿宋" w:hAnsi="仿宋" w:eastAsia="仿宋"/>
          <w:sz w:val="24"/>
          <w:szCs w:val="24"/>
        </w:rPr>
        <w:t>（3）残疾人福利单位标准请参照《关于促进残疾人就业政府采购政策的通知》（财库〔2017〕141号）。</w:t>
      </w:r>
    </w:p>
    <w:p w14:paraId="37FA1245">
      <w:pPr>
        <w:snapToGrid w:val="0"/>
        <w:ind w:firstLine="480" w:firstLineChars="200"/>
        <w:rPr>
          <w:rFonts w:ascii="仿宋" w:hAnsi="仿宋" w:eastAsia="仿宋"/>
          <w:sz w:val="24"/>
          <w:szCs w:val="24"/>
        </w:rPr>
      </w:pPr>
      <w:r>
        <w:rPr>
          <w:rFonts w:hint="eastAsia" w:ascii="仿宋" w:hAnsi="仿宋" w:eastAsia="仿宋"/>
          <w:sz w:val="24"/>
          <w:szCs w:val="24"/>
        </w:rPr>
        <w:t>3.监狱和戒毒企业价格扣除</w:t>
      </w:r>
    </w:p>
    <w:p w14:paraId="7C4B8DC0">
      <w:pPr>
        <w:snapToGrid w:val="0"/>
        <w:ind w:firstLine="480" w:firstLineChars="200"/>
        <w:rPr>
          <w:rFonts w:ascii="仿宋" w:hAnsi="仿宋" w:eastAsia="仿宋"/>
          <w:sz w:val="24"/>
          <w:szCs w:val="24"/>
        </w:rPr>
      </w:pPr>
      <w:r>
        <w:rPr>
          <w:rFonts w:hint="eastAsia" w:ascii="仿宋" w:hAnsi="仿宋" w:eastAsia="仿宋"/>
          <w:sz w:val="24"/>
          <w:szCs w:val="24"/>
        </w:rPr>
        <w:t>（1）本项目对监狱和戒毒企业（简称监狱企业）产品，给予6%的价格扣除，用扣除后的价格参与评审。</w:t>
      </w:r>
    </w:p>
    <w:p w14:paraId="3B8F6067">
      <w:pPr>
        <w:snapToGrid w:val="0"/>
        <w:ind w:firstLine="480" w:firstLineChars="200"/>
        <w:rPr>
          <w:rFonts w:ascii="仿宋" w:hAnsi="仿宋" w:eastAsia="仿宋"/>
          <w:sz w:val="24"/>
          <w:szCs w:val="24"/>
        </w:rPr>
      </w:pPr>
      <w:r>
        <w:rPr>
          <w:rFonts w:hint="eastAsia" w:ascii="仿宋" w:hAnsi="仿宋" w:eastAsia="仿宋"/>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264FA409">
      <w:pPr>
        <w:snapToGrid w:val="0"/>
        <w:ind w:firstLine="480" w:firstLineChars="200"/>
        <w:rPr>
          <w:rFonts w:ascii="仿宋" w:hAnsi="仿宋" w:eastAsia="仿宋"/>
          <w:sz w:val="24"/>
          <w:szCs w:val="24"/>
        </w:rPr>
      </w:pPr>
      <w:r>
        <w:rPr>
          <w:rFonts w:hint="eastAsia" w:ascii="仿宋" w:hAnsi="仿宋" w:eastAsia="仿宋"/>
          <w:sz w:val="24"/>
          <w:szCs w:val="24"/>
        </w:rPr>
        <w:t>（3）监狱企业标准请参照《关于政府采购支持监狱企业发展有关问题的通知》（</w:t>
      </w:r>
      <w:r>
        <w:rPr>
          <w:rFonts w:ascii="仿宋" w:hAnsi="仿宋" w:eastAsia="仿宋"/>
          <w:sz w:val="24"/>
          <w:szCs w:val="24"/>
        </w:rPr>
        <w:t>财库</w:t>
      </w:r>
      <w:r>
        <w:rPr>
          <w:rFonts w:hint="eastAsia" w:ascii="仿宋" w:hAnsi="仿宋" w:eastAsia="仿宋"/>
          <w:sz w:val="24"/>
          <w:szCs w:val="24"/>
        </w:rPr>
        <w:t>〔</w:t>
      </w:r>
      <w:r>
        <w:rPr>
          <w:rFonts w:ascii="仿宋" w:hAnsi="仿宋" w:eastAsia="仿宋"/>
          <w:sz w:val="24"/>
          <w:szCs w:val="24"/>
        </w:rPr>
        <w:t>2014</w:t>
      </w:r>
      <w:r>
        <w:rPr>
          <w:rFonts w:hint="eastAsia" w:ascii="仿宋" w:hAnsi="仿宋" w:eastAsia="仿宋"/>
          <w:sz w:val="24"/>
          <w:szCs w:val="24"/>
        </w:rPr>
        <w:t>〕</w:t>
      </w:r>
      <w:r>
        <w:rPr>
          <w:rFonts w:ascii="仿宋" w:hAnsi="仿宋" w:eastAsia="仿宋"/>
          <w:sz w:val="24"/>
          <w:szCs w:val="24"/>
        </w:rPr>
        <w:t>68号</w:t>
      </w:r>
      <w:r>
        <w:rPr>
          <w:rFonts w:hint="eastAsia" w:ascii="仿宋" w:hAnsi="仿宋" w:eastAsia="仿宋"/>
          <w:sz w:val="24"/>
          <w:szCs w:val="24"/>
        </w:rPr>
        <w:t>）。</w:t>
      </w:r>
    </w:p>
    <w:p w14:paraId="4D09DDD6">
      <w:pPr>
        <w:snapToGrid w:val="0"/>
        <w:ind w:firstLine="480" w:firstLineChars="200"/>
        <w:rPr>
          <w:rFonts w:ascii="仿宋" w:hAnsi="仿宋" w:eastAsia="仿宋"/>
          <w:sz w:val="24"/>
          <w:szCs w:val="24"/>
        </w:rPr>
      </w:pPr>
      <w:r>
        <w:rPr>
          <w:rFonts w:hint="eastAsia" w:ascii="仿宋" w:hAnsi="仿宋" w:eastAsia="仿宋"/>
          <w:sz w:val="24"/>
          <w:szCs w:val="24"/>
        </w:rPr>
        <w:t>4.残疾人福利单位、监狱企业属于小型、微型企业的，不重复享受政策。</w:t>
      </w:r>
    </w:p>
    <w:p w14:paraId="285815B3">
      <w:pPr>
        <w:snapToGrid w:val="0"/>
        <w:ind w:firstLine="480" w:firstLineChars="200"/>
        <w:rPr>
          <w:rFonts w:ascii="仿宋" w:hAnsi="仿宋" w:eastAsia="仿宋"/>
          <w:sz w:val="24"/>
          <w:szCs w:val="24"/>
        </w:rPr>
      </w:pPr>
      <w:r>
        <w:rPr>
          <w:rFonts w:hint="eastAsia" w:ascii="仿宋" w:hAnsi="仿宋" w:eastAsia="仿宋"/>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30188CF2">
      <w:pPr>
        <w:snapToGrid w:val="0"/>
        <w:ind w:firstLine="480" w:firstLineChars="200"/>
        <w:rPr>
          <w:rFonts w:ascii="仿宋" w:hAnsi="仿宋" w:eastAsia="仿宋"/>
          <w:sz w:val="24"/>
          <w:szCs w:val="24"/>
        </w:rPr>
      </w:pPr>
      <w:r>
        <w:rPr>
          <w:rFonts w:hint="eastAsia" w:ascii="仿宋" w:hAnsi="仿宋" w:eastAsia="仿宋"/>
          <w:sz w:val="24"/>
          <w:szCs w:val="24"/>
        </w:rPr>
        <w:t>6.联合体各方均为小型、微型企业（残疾人福利单位、监狱企业）的，联合体享受6%价格扣除，用扣除后的价格参与评审。</w:t>
      </w:r>
    </w:p>
    <w:p w14:paraId="10B06F61">
      <w:pPr>
        <w:snapToGrid w:val="0"/>
        <w:ind w:firstLine="480" w:firstLineChars="200"/>
        <w:rPr>
          <w:rFonts w:ascii="仿宋" w:hAnsi="仿宋" w:eastAsia="仿宋"/>
          <w:sz w:val="24"/>
          <w:szCs w:val="24"/>
        </w:rPr>
      </w:pPr>
      <w:r>
        <w:rPr>
          <w:rFonts w:hint="eastAsia" w:ascii="仿宋" w:hAnsi="仿宋" w:eastAsia="仿宋"/>
          <w:sz w:val="24"/>
          <w:szCs w:val="24"/>
        </w:rPr>
        <w:t>7.根据《江苏省政府采购供应商监督管理暂行办法》的规定，诚信记录分每减10分，给予本项目总分值2%的扣分，扣分最多不超过本项目总分值6%。</w:t>
      </w:r>
    </w:p>
    <w:p w14:paraId="37F71600">
      <w:pPr>
        <w:snapToGrid w:val="0"/>
        <w:ind w:firstLine="480" w:firstLineChars="200"/>
        <w:rPr>
          <w:rFonts w:ascii="仿宋" w:hAnsi="仿宋" w:eastAsia="仿宋"/>
          <w:sz w:val="24"/>
          <w:szCs w:val="24"/>
        </w:rPr>
      </w:pPr>
      <w:r>
        <w:rPr>
          <w:rFonts w:hint="eastAsia" w:ascii="仿宋" w:hAnsi="仿宋" w:eastAsia="仿宋"/>
          <w:sz w:val="24"/>
          <w:szCs w:val="24"/>
        </w:rPr>
        <w:t>8.供应商的最后报价如相同，则优先采购 “环境标志产品”或“节能产品”；若均非“环境标志产品”、“节能产品”，则将优先采购交货期短者。</w:t>
      </w:r>
    </w:p>
    <w:p w14:paraId="7F514B31">
      <w:pPr>
        <w:snapToGrid w:val="0"/>
        <w:ind w:firstLine="480" w:firstLineChars="200"/>
        <w:rPr>
          <w:rFonts w:ascii="仿宋" w:hAnsi="仿宋" w:eastAsia="仿宋"/>
          <w:sz w:val="24"/>
          <w:szCs w:val="24"/>
        </w:rPr>
      </w:pPr>
      <w:r>
        <w:rPr>
          <w:rFonts w:hint="eastAsia" w:ascii="仿宋" w:hAnsi="仿宋" w:eastAsia="仿宋"/>
          <w:sz w:val="24"/>
          <w:szCs w:val="24"/>
        </w:rPr>
        <w:t>9.环境标志产品是指列入财政部、环境保护部最新公布的《环境标志产品政府采购清单》内的产品；节能产品是指列入财政部、国家发改委最新公布的《节能产品政府采购清单》内的产品。</w:t>
      </w:r>
    </w:p>
    <w:p w14:paraId="4A7C3448">
      <w:pPr>
        <w:snapToGrid w:val="0"/>
        <w:ind w:firstLine="480" w:firstLineChars="200"/>
        <w:rPr>
          <w:rFonts w:ascii="黑体" w:hAnsi="黑体" w:eastAsia="黑体"/>
          <w:bCs/>
          <w:sz w:val="24"/>
          <w:szCs w:val="24"/>
        </w:rPr>
      </w:pPr>
      <w:r>
        <w:rPr>
          <w:rFonts w:hint="eastAsia" w:ascii="黑体" w:hAnsi="黑体" w:eastAsia="黑体"/>
          <w:bCs/>
          <w:sz w:val="24"/>
          <w:szCs w:val="24"/>
        </w:rPr>
        <w:t>七、采购活动终止</w:t>
      </w:r>
    </w:p>
    <w:p w14:paraId="3C12D739">
      <w:pPr>
        <w:snapToGrid w:val="0"/>
        <w:ind w:firstLine="480" w:firstLineChars="200"/>
        <w:rPr>
          <w:rFonts w:ascii="仿宋" w:hAnsi="仿宋" w:eastAsia="仿宋"/>
          <w:sz w:val="24"/>
          <w:szCs w:val="24"/>
        </w:rPr>
      </w:pPr>
      <w:r>
        <w:rPr>
          <w:rFonts w:hint="eastAsia" w:ascii="仿宋" w:hAnsi="仿宋" w:eastAsia="仿宋"/>
          <w:sz w:val="24"/>
          <w:szCs w:val="24"/>
        </w:rPr>
        <w:t>1.出现下列情形之一的，本次竞争性磋商采购活动将被终止：</w:t>
      </w:r>
    </w:p>
    <w:p w14:paraId="14B3BB54">
      <w:pPr>
        <w:snapToGrid w:val="0"/>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1</w:t>
      </w:r>
      <w:r>
        <w:rPr>
          <w:rFonts w:ascii="仿宋" w:hAnsi="仿宋" w:eastAsia="仿宋"/>
          <w:sz w:val="24"/>
          <w:szCs w:val="24"/>
        </w:rPr>
        <w:t>）因情况变化，不再符合规定的</w:t>
      </w:r>
      <w:r>
        <w:rPr>
          <w:rFonts w:hint="eastAsia" w:ascii="仿宋" w:hAnsi="仿宋" w:eastAsia="仿宋"/>
          <w:sz w:val="24"/>
          <w:szCs w:val="24"/>
        </w:rPr>
        <w:t>竞争性磋商</w:t>
      </w:r>
      <w:r>
        <w:rPr>
          <w:rFonts w:ascii="仿宋" w:hAnsi="仿宋" w:eastAsia="仿宋"/>
          <w:sz w:val="24"/>
          <w:szCs w:val="24"/>
        </w:rPr>
        <w:t>采购方式适用情形的；</w:t>
      </w:r>
    </w:p>
    <w:p w14:paraId="040FB6D0">
      <w:pPr>
        <w:snapToGrid w:val="0"/>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2</w:t>
      </w:r>
      <w:r>
        <w:rPr>
          <w:rFonts w:ascii="仿宋" w:hAnsi="仿宋" w:eastAsia="仿宋"/>
          <w:sz w:val="24"/>
          <w:szCs w:val="24"/>
        </w:rPr>
        <w:t>）出现影响采购公正的违法、违规行为的；</w:t>
      </w:r>
    </w:p>
    <w:p w14:paraId="6D556E97">
      <w:pPr>
        <w:snapToGrid w:val="0"/>
        <w:ind w:firstLine="480" w:firstLineChars="200"/>
        <w:rPr>
          <w:rFonts w:ascii="仿宋" w:hAnsi="仿宋" w:eastAsia="仿宋"/>
          <w:sz w:val="24"/>
          <w:szCs w:val="24"/>
        </w:rPr>
      </w:pP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）在采购过程中符合竞争要求的供应商或者报价未超过采购预算的供应商不足3家的。</w:t>
      </w:r>
      <w:r>
        <w:rPr>
          <w:rFonts w:hint="eastAsia" w:ascii="仿宋" w:hAnsi="仿宋" w:eastAsia="仿宋"/>
          <w:sz w:val="24"/>
          <w:szCs w:val="24"/>
          <w:u w:val="single"/>
        </w:rPr>
        <w:t>（除符合《财政部关于政府竞争性磋商采购方式管理暂行办法有关问题的补充通知》要求的可以为2家）</w:t>
      </w:r>
    </w:p>
    <w:p w14:paraId="2CD57DC9">
      <w:pPr>
        <w:snapToGrid w:val="0"/>
        <w:ind w:firstLine="480" w:firstLineChars="200"/>
        <w:rPr>
          <w:rFonts w:ascii="仿宋" w:hAnsi="仿宋" w:eastAsia="仿宋"/>
          <w:sz w:val="24"/>
          <w:szCs w:val="24"/>
        </w:rPr>
      </w:pPr>
      <w:r>
        <w:rPr>
          <w:rFonts w:hint="eastAsia" w:ascii="仿宋" w:hAnsi="仿宋" w:eastAsia="仿宋"/>
          <w:sz w:val="24"/>
          <w:szCs w:val="24"/>
        </w:rPr>
        <w:t>（4）因重大变故，采购任务取消的。</w:t>
      </w:r>
    </w:p>
    <w:bookmarkEnd w:id="35"/>
    <w:bookmarkEnd w:id="36"/>
    <w:bookmarkEnd w:id="37"/>
    <w:p w14:paraId="3CD00E8D">
      <w:pPr>
        <w:snapToGrid w:val="0"/>
        <w:ind w:firstLine="480" w:firstLineChars="200"/>
        <w:rPr>
          <w:rFonts w:ascii="黑体" w:hAnsi="黑体" w:eastAsia="黑体"/>
          <w:sz w:val="24"/>
          <w:szCs w:val="24"/>
        </w:rPr>
      </w:pPr>
      <w:bookmarkStart w:id="38" w:name="_Toc16938554"/>
      <w:bookmarkStart w:id="39" w:name="_Toc20823310"/>
      <w:r>
        <w:rPr>
          <w:rFonts w:hint="eastAsia" w:ascii="黑体" w:hAnsi="黑体" w:eastAsia="黑体"/>
          <w:sz w:val="24"/>
          <w:szCs w:val="24"/>
        </w:rPr>
        <w:t>八、</w:t>
      </w:r>
      <w:bookmarkEnd w:id="38"/>
      <w:bookmarkEnd w:id="39"/>
      <w:r>
        <w:rPr>
          <w:rFonts w:hint="eastAsia" w:ascii="黑体" w:hAnsi="黑体" w:eastAsia="黑体"/>
          <w:sz w:val="24"/>
          <w:szCs w:val="24"/>
        </w:rPr>
        <w:t>取消成交资格</w:t>
      </w:r>
    </w:p>
    <w:p w14:paraId="358CCD4E">
      <w:pPr>
        <w:snapToGrid w:val="0"/>
        <w:ind w:firstLine="480" w:firstLineChars="200"/>
        <w:rPr>
          <w:rFonts w:ascii="仿宋" w:hAnsi="仿宋" w:eastAsia="仿宋"/>
          <w:sz w:val="24"/>
          <w:szCs w:val="24"/>
        </w:rPr>
      </w:pPr>
      <w:r>
        <w:rPr>
          <w:rFonts w:hint="eastAsia" w:ascii="仿宋" w:hAnsi="仿宋" w:eastAsia="仿宋"/>
          <w:sz w:val="24"/>
          <w:szCs w:val="24"/>
        </w:rPr>
        <w:t>若有充分证据证明，成交供应商出现下列情况之一的，一经查实，将被取消成交资格：</w:t>
      </w:r>
    </w:p>
    <w:p w14:paraId="4338C7A0">
      <w:pPr>
        <w:snapToGrid w:val="0"/>
        <w:ind w:firstLine="480" w:firstLineChars="200"/>
        <w:rPr>
          <w:rFonts w:ascii="仿宋" w:hAnsi="仿宋" w:eastAsia="仿宋"/>
          <w:sz w:val="24"/>
          <w:szCs w:val="24"/>
        </w:rPr>
      </w:pPr>
      <w:r>
        <w:rPr>
          <w:rFonts w:hint="eastAsia" w:ascii="仿宋" w:hAnsi="仿宋" w:eastAsia="仿宋"/>
          <w:sz w:val="24"/>
          <w:szCs w:val="24"/>
        </w:rPr>
        <w:t>1.提供虚假材料谋取成交的；</w:t>
      </w:r>
    </w:p>
    <w:p w14:paraId="04F79D87">
      <w:pPr>
        <w:snapToGrid w:val="0"/>
        <w:ind w:firstLine="480" w:firstLineChars="200"/>
        <w:rPr>
          <w:rFonts w:ascii="仿宋" w:hAnsi="仿宋" w:eastAsia="仿宋"/>
          <w:sz w:val="24"/>
          <w:szCs w:val="24"/>
        </w:rPr>
      </w:pPr>
      <w:r>
        <w:rPr>
          <w:rFonts w:hint="eastAsia" w:ascii="仿宋" w:hAnsi="仿宋" w:eastAsia="仿宋"/>
          <w:sz w:val="24"/>
          <w:szCs w:val="24"/>
        </w:rPr>
        <w:t>2.与评审专家、采购人、其他供应商或者校方工作人员恶意串通的；</w:t>
      </w:r>
    </w:p>
    <w:p w14:paraId="1B90BDD8">
      <w:pPr>
        <w:snapToGrid w:val="0"/>
        <w:ind w:firstLine="480" w:firstLineChars="200"/>
        <w:rPr>
          <w:rFonts w:ascii="仿宋" w:hAnsi="仿宋" w:eastAsia="仿宋"/>
          <w:sz w:val="24"/>
          <w:szCs w:val="24"/>
        </w:rPr>
      </w:pPr>
      <w:r>
        <w:rPr>
          <w:rFonts w:hint="eastAsia" w:ascii="仿宋" w:hAnsi="仿宋" w:eastAsia="仿宋"/>
          <w:sz w:val="24"/>
          <w:szCs w:val="24"/>
        </w:rPr>
        <w:t>3.向评审专家、采购人或校方工作人员行贿或者提供其他不正当利益的；</w:t>
      </w:r>
    </w:p>
    <w:p w14:paraId="37C4A2DF">
      <w:pPr>
        <w:snapToGrid w:val="0"/>
        <w:ind w:firstLine="480" w:firstLineChars="200"/>
        <w:rPr>
          <w:rFonts w:ascii="仿宋" w:hAnsi="仿宋" w:eastAsia="仿宋"/>
          <w:sz w:val="24"/>
          <w:szCs w:val="24"/>
        </w:rPr>
      </w:pPr>
      <w:r>
        <w:rPr>
          <w:rFonts w:hint="eastAsia" w:ascii="仿宋" w:hAnsi="仿宋" w:eastAsia="仿宋"/>
          <w:sz w:val="24"/>
          <w:szCs w:val="24"/>
        </w:rPr>
        <w:t>4.恶意竞争，最终总报价明显低于其自身合理成本且又无法提供证明的；</w:t>
      </w:r>
    </w:p>
    <w:p w14:paraId="0E7589C1">
      <w:pPr>
        <w:snapToGrid w:val="0"/>
        <w:ind w:firstLine="480" w:firstLineChars="200"/>
        <w:rPr>
          <w:rFonts w:ascii="仿宋" w:hAnsi="仿宋" w:eastAsia="仿宋"/>
          <w:sz w:val="24"/>
          <w:szCs w:val="24"/>
        </w:rPr>
      </w:pPr>
      <w:r>
        <w:rPr>
          <w:rFonts w:hint="eastAsia" w:ascii="仿宋" w:hAnsi="仿宋" w:eastAsia="仿宋"/>
          <w:sz w:val="24"/>
          <w:szCs w:val="24"/>
        </w:rPr>
        <w:t>5.不满足本采购文件规定的实质性要求，但在评审过程中又未被磋商小组发现的；</w:t>
      </w:r>
    </w:p>
    <w:p w14:paraId="5FC2594C">
      <w:pPr>
        <w:snapToGrid w:val="0"/>
        <w:ind w:firstLine="480" w:firstLineChars="200"/>
        <w:rPr>
          <w:rFonts w:ascii="仿宋" w:hAnsi="仿宋" w:eastAsia="仿宋"/>
          <w:sz w:val="24"/>
          <w:szCs w:val="24"/>
        </w:rPr>
      </w:pPr>
      <w:r>
        <w:rPr>
          <w:rFonts w:hint="eastAsia" w:ascii="仿宋" w:hAnsi="仿宋" w:eastAsia="仿宋"/>
          <w:sz w:val="24"/>
          <w:szCs w:val="24"/>
        </w:rPr>
        <w:t>6.成交后无正当理由拒不与采购人签订政府采购合同或者未按照采购文件确定的事项签订政府采购合同；</w:t>
      </w:r>
    </w:p>
    <w:p w14:paraId="40864D84">
      <w:pPr>
        <w:snapToGrid w:val="0"/>
        <w:ind w:firstLine="480" w:firstLineChars="200"/>
        <w:rPr>
          <w:rFonts w:ascii="仿宋" w:hAnsi="仿宋" w:eastAsia="仿宋"/>
          <w:sz w:val="24"/>
          <w:szCs w:val="24"/>
        </w:rPr>
      </w:pPr>
      <w:r>
        <w:rPr>
          <w:rFonts w:hint="eastAsia" w:ascii="仿宋" w:hAnsi="仿宋" w:eastAsia="仿宋"/>
          <w:sz w:val="24"/>
          <w:szCs w:val="24"/>
        </w:rPr>
        <w:t>7.将政府采购合同转包；</w:t>
      </w:r>
    </w:p>
    <w:p w14:paraId="25E436AD">
      <w:pPr>
        <w:snapToGrid w:val="0"/>
        <w:ind w:firstLine="480" w:firstLineChars="200"/>
        <w:rPr>
          <w:rFonts w:ascii="仿宋" w:hAnsi="仿宋" w:eastAsia="仿宋"/>
          <w:sz w:val="24"/>
          <w:szCs w:val="24"/>
        </w:rPr>
      </w:pPr>
      <w:r>
        <w:rPr>
          <w:rFonts w:hint="eastAsia" w:ascii="仿宋" w:hAnsi="仿宋" w:eastAsia="仿宋"/>
          <w:sz w:val="24"/>
          <w:szCs w:val="24"/>
        </w:rPr>
        <w:t>8.法律、法规、规章规定的属于成交无效的其他情形。</w:t>
      </w:r>
    </w:p>
    <w:p w14:paraId="3E9905FD">
      <w:pPr>
        <w:snapToGrid w:val="0"/>
        <w:ind w:firstLine="480" w:firstLineChars="200"/>
        <w:rPr>
          <w:rFonts w:ascii="黑体" w:hAnsi="黑体" w:eastAsia="黑体"/>
          <w:sz w:val="24"/>
          <w:szCs w:val="24"/>
        </w:rPr>
      </w:pPr>
      <w:bookmarkStart w:id="40" w:name="_Toc513029237"/>
      <w:bookmarkStart w:id="41" w:name="_Toc20823309"/>
      <w:bookmarkStart w:id="42" w:name="_Toc16938553"/>
      <w:r>
        <w:rPr>
          <w:rFonts w:hint="eastAsia" w:ascii="黑体" w:hAnsi="黑体" w:eastAsia="黑体"/>
          <w:sz w:val="24"/>
          <w:szCs w:val="24"/>
        </w:rPr>
        <w:t>九、签订政府采购合同</w:t>
      </w:r>
    </w:p>
    <w:p w14:paraId="5E431DF2">
      <w:pPr>
        <w:snapToGrid w:val="0"/>
        <w:ind w:firstLine="480" w:firstLineChars="200"/>
        <w:rPr>
          <w:rFonts w:ascii="仿宋" w:hAnsi="仿宋" w:eastAsia="仿宋"/>
          <w:sz w:val="24"/>
          <w:szCs w:val="24"/>
        </w:rPr>
      </w:pPr>
      <w:r>
        <w:rPr>
          <w:rFonts w:hint="eastAsia" w:ascii="仿宋" w:hAnsi="仿宋" w:eastAsia="仿宋"/>
          <w:sz w:val="24"/>
          <w:szCs w:val="24"/>
        </w:rPr>
        <w:t>1.成交供应商确定后，采购人或者代理机构将向成交供应商发出成交通知书。成交供应商应按成交通知书规定,按照竞争性磋商文件确定的事项与采购人签订政府采购合同，且不得迟于成交通知书发出之日起三日内，否则磋商保证金将不予退还，由此给采购人造成损失的，成交供应商还应承担赔偿责任。</w:t>
      </w:r>
    </w:p>
    <w:p w14:paraId="37C7E187">
      <w:pPr>
        <w:snapToGrid w:val="0"/>
        <w:ind w:firstLine="480" w:firstLineChars="200"/>
        <w:rPr>
          <w:rFonts w:ascii="仿宋" w:hAnsi="仿宋" w:eastAsia="仿宋"/>
          <w:sz w:val="24"/>
          <w:szCs w:val="24"/>
        </w:rPr>
      </w:pPr>
      <w:r>
        <w:rPr>
          <w:rFonts w:hint="eastAsia" w:ascii="仿宋" w:hAnsi="仿宋" w:eastAsia="仿宋"/>
          <w:sz w:val="24"/>
          <w:szCs w:val="24"/>
        </w:rPr>
        <w:t>2.竞争性磋商文件、成交供应商的磋商响应文件及磋商采购过程中有关澄清、承诺文件均应作为合同附件。</w:t>
      </w:r>
    </w:p>
    <w:p w14:paraId="274F8286">
      <w:pPr>
        <w:snapToGrid w:val="0"/>
        <w:ind w:firstLine="480" w:firstLineChars="200"/>
        <w:rPr>
          <w:rFonts w:ascii="仿宋" w:hAnsi="仿宋" w:eastAsia="仿宋"/>
          <w:sz w:val="24"/>
          <w:szCs w:val="24"/>
        </w:rPr>
      </w:pPr>
      <w:r>
        <w:rPr>
          <w:rFonts w:hint="eastAsia" w:ascii="仿宋" w:hAnsi="仿宋" w:eastAsia="仿宋"/>
          <w:sz w:val="24"/>
          <w:szCs w:val="24"/>
        </w:rPr>
        <w:t>3.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DB81F41">
      <w:pPr>
        <w:snapToGrid w:val="0"/>
        <w:ind w:firstLine="480" w:firstLineChars="200"/>
        <w:rPr>
          <w:rFonts w:ascii="仿宋" w:hAnsi="仿宋" w:eastAsia="仿宋"/>
          <w:sz w:val="24"/>
          <w:szCs w:val="24"/>
        </w:rPr>
      </w:pPr>
      <w:r>
        <w:rPr>
          <w:rFonts w:hint="eastAsia" w:ascii="仿宋" w:hAnsi="仿宋" w:eastAsia="仿宋"/>
          <w:sz w:val="24"/>
          <w:szCs w:val="24"/>
        </w:rPr>
        <w:t>4.</w:t>
      </w:r>
      <w:bookmarkEnd w:id="40"/>
      <w:bookmarkEnd w:id="41"/>
      <w:bookmarkEnd w:id="42"/>
      <w:r>
        <w:rPr>
          <w:rFonts w:hint="eastAsia" w:ascii="仿宋" w:hAnsi="仿宋" w:eastAsia="仿宋"/>
          <w:sz w:val="24"/>
          <w:szCs w:val="24"/>
        </w:rPr>
        <w:t>成交供应商在收到成交通知书后，应当根据磋商文件的规定向采购人缴纳履约保证金</w:t>
      </w:r>
      <w:bookmarkStart w:id="43" w:name="_Toc200451963"/>
      <w:r>
        <w:rPr>
          <w:rFonts w:hint="eastAsia" w:ascii="仿宋" w:hAnsi="仿宋" w:eastAsia="仿宋"/>
          <w:sz w:val="24"/>
          <w:szCs w:val="24"/>
        </w:rPr>
        <w:t>。</w:t>
      </w:r>
    </w:p>
    <w:bookmarkEnd w:id="43"/>
    <w:p w14:paraId="686675B8">
      <w:pPr>
        <w:snapToGrid w:val="0"/>
        <w:ind w:firstLine="480" w:firstLineChars="200"/>
        <w:rPr>
          <w:rFonts w:ascii="黑体" w:hAnsi="黑体" w:eastAsia="黑体"/>
          <w:sz w:val="24"/>
          <w:szCs w:val="24"/>
        </w:rPr>
      </w:pPr>
      <w:r>
        <w:rPr>
          <w:rFonts w:hint="eastAsia" w:ascii="黑体" w:hAnsi="黑体" w:eastAsia="黑体"/>
          <w:sz w:val="24"/>
          <w:szCs w:val="24"/>
        </w:rPr>
        <w:t>十、质疑处理</w:t>
      </w:r>
    </w:p>
    <w:p w14:paraId="7273AC06">
      <w:pPr>
        <w:snapToGrid w:val="0"/>
        <w:ind w:firstLine="480" w:firstLineChars="200"/>
        <w:rPr>
          <w:rFonts w:ascii="仿宋" w:hAnsi="仿宋" w:eastAsia="仿宋"/>
          <w:sz w:val="24"/>
          <w:szCs w:val="24"/>
        </w:rPr>
      </w:pPr>
      <w:r>
        <w:rPr>
          <w:rFonts w:hint="eastAsia" w:ascii="仿宋" w:hAnsi="仿宋" w:eastAsia="仿宋"/>
          <w:sz w:val="24"/>
          <w:szCs w:val="24"/>
        </w:rPr>
        <w:t>1.提出质疑的供应商应当是参与所质疑项目竞争性磋商活动的供应商。潜在供应商依法获取其可质疑的竞争性磋商文件的，可以对磋商文件提出质疑。</w:t>
      </w:r>
    </w:p>
    <w:p w14:paraId="05D89514">
      <w:pPr>
        <w:snapToGrid w:val="0"/>
        <w:ind w:firstLine="480" w:firstLineChars="200"/>
        <w:rPr>
          <w:rFonts w:ascii="仿宋" w:hAnsi="仿宋" w:eastAsia="仿宋"/>
          <w:sz w:val="24"/>
          <w:szCs w:val="24"/>
        </w:rPr>
      </w:pPr>
      <w:r>
        <w:rPr>
          <w:rFonts w:hint="eastAsia" w:ascii="仿宋" w:hAnsi="仿宋" w:eastAsia="仿宋"/>
          <w:sz w:val="24"/>
          <w:szCs w:val="24"/>
        </w:rPr>
        <w:t>2.供应商认为磋商文件、采购过程和采购结果使自己的权益受到损害的，可以在知道或应知其权益受到损害之日起七个工作日内，以书面形式向代理机构或采购人提出质疑。上述应知其权益受到损害之日，是指：</w:t>
      </w:r>
    </w:p>
    <w:p w14:paraId="2FB58CB0">
      <w:pPr>
        <w:snapToGrid w:val="0"/>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对可以质疑的</w:t>
      </w:r>
      <w:r>
        <w:rPr>
          <w:rFonts w:hint="eastAsia" w:ascii="仿宋" w:hAnsi="仿宋" w:eastAsia="仿宋"/>
          <w:sz w:val="24"/>
          <w:szCs w:val="24"/>
        </w:rPr>
        <w:t>磋商</w:t>
      </w:r>
      <w:r>
        <w:rPr>
          <w:rFonts w:ascii="仿宋" w:hAnsi="仿宋" w:eastAsia="仿宋"/>
          <w:sz w:val="24"/>
          <w:szCs w:val="24"/>
        </w:rPr>
        <w:t>文件提出质疑的，为收到</w:t>
      </w:r>
      <w:r>
        <w:rPr>
          <w:rFonts w:hint="eastAsia" w:ascii="仿宋" w:hAnsi="仿宋" w:eastAsia="仿宋"/>
          <w:sz w:val="24"/>
          <w:szCs w:val="24"/>
        </w:rPr>
        <w:t>磋商</w:t>
      </w:r>
      <w:r>
        <w:rPr>
          <w:rFonts w:ascii="仿宋" w:hAnsi="仿宋" w:eastAsia="仿宋"/>
          <w:sz w:val="24"/>
          <w:szCs w:val="24"/>
        </w:rPr>
        <w:t>文件之日或者</w:t>
      </w:r>
      <w:r>
        <w:rPr>
          <w:rFonts w:hint="eastAsia" w:ascii="仿宋" w:hAnsi="仿宋" w:eastAsia="仿宋"/>
          <w:sz w:val="24"/>
          <w:szCs w:val="24"/>
        </w:rPr>
        <w:t>磋商</w:t>
      </w:r>
      <w:r>
        <w:rPr>
          <w:rFonts w:ascii="仿宋" w:hAnsi="仿宋" w:eastAsia="仿宋"/>
          <w:sz w:val="24"/>
          <w:szCs w:val="24"/>
        </w:rPr>
        <w:t>文件公告期限届满之日；</w:t>
      </w:r>
    </w:p>
    <w:p w14:paraId="21AEE9F4">
      <w:pPr>
        <w:snapToGrid w:val="0"/>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对采购过程提出质疑的，为各采购程序环节结束之日；</w:t>
      </w:r>
    </w:p>
    <w:p w14:paraId="4CC48A04">
      <w:pPr>
        <w:snapToGrid w:val="0"/>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对成交结果提出质疑的，为成交结果公告期限届满之日。</w:t>
      </w:r>
    </w:p>
    <w:p w14:paraId="3B1529F8">
      <w:pPr>
        <w:snapToGrid w:val="0"/>
        <w:ind w:firstLine="480" w:firstLineChars="200"/>
        <w:rPr>
          <w:rFonts w:ascii="仿宋" w:hAnsi="仿宋" w:eastAsia="仿宋"/>
          <w:sz w:val="24"/>
          <w:szCs w:val="24"/>
        </w:rPr>
      </w:pPr>
      <w:r>
        <w:rPr>
          <w:rFonts w:hint="eastAsia" w:ascii="仿宋" w:hAnsi="仿宋" w:eastAsia="仿宋"/>
          <w:sz w:val="24"/>
          <w:szCs w:val="24"/>
        </w:rPr>
        <w:t>3.供应商应当在法定质疑期内一次性提出针对同一采购程序环节的质疑。供应商如在法定期限内对同一采购程序环节提出多次质疑的，采购人或者代理机构将只对供应商第一次质疑作出答复。</w:t>
      </w:r>
    </w:p>
    <w:p w14:paraId="454D8F79">
      <w:pPr>
        <w:snapToGrid w:val="0"/>
        <w:ind w:firstLine="480" w:firstLineChars="200"/>
        <w:rPr>
          <w:rFonts w:ascii="仿宋" w:hAnsi="仿宋" w:eastAsia="仿宋"/>
          <w:sz w:val="24"/>
          <w:szCs w:val="24"/>
        </w:rPr>
      </w:pPr>
      <w:r>
        <w:rPr>
          <w:rFonts w:hint="eastAsia" w:ascii="仿宋" w:hAnsi="仿宋" w:eastAsia="仿宋"/>
          <w:sz w:val="24"/>
          <w:szCs w:val="24"/>
        </w:rPr>
        <w:t>4.质疑函必须按照本磋商文件中《质疑函范本》要求的格式和内容进行填写。供应商如组成联合体参加磋商，则《质疑函范本》中要求签字、盖章、加盖公章之处，联合体各方均须按要求签字、盖章、加盖公章。</w:t>
      </w:r>
    </w:p>
    <w:p w14:paraId="26D9FF5D">
      <w:pPr>
        <w:snapToGrid w:val="0"/>
        <w:ind w:firstLine="480" w:firstLineChars="200"/>
        <w:rPr>
          <w:rFonts w:ascii="仿宋" w:hAnsi="仿宋" w:eastAsia="仿宋"/>
          <w:sz w:val="24"/>
          <w:szCs w:val="24"/>
        </w:rPr>
      </w:pPr>
      <w:r>
        <w:rPr>
          <w:rFonts w:hint="eastAsia" w:ascii="仿宋" w:hAnsi="仿宋" w:eastAsia="仿宋"/>
          <w:sz w:val="24"/>
          <w:szCs w:val="24"/>
        </w:rPr>
        <w:t>5.采购人或者代理机构只接收以纸质原件形式送达的质疑。采购人或者代理机构联系方式详见竞争性磋商公告。</w:t>
      </w:r>
    </w:p>
    <w:p w14:paraId="2357C047">
      <w:pPr>
        <w:snapToGrid w:val="0"/>
        <w:ind w:firstLine="480" w:firstLineChars="200"/>
        <w:rPr>
          <w:rFonts w:ascii="仿宋" w:hAnsi="仿宋" w:eastAsia="仿宋"/>
          <w:sz w:val="24"/>
          <w:szCs w:val="24"/>
        </w:rPr>
      </w:pPr>
      <w:r>
        <w:rPr>
          <w:rFonts w:hint="eastAsia" w:ascii="仿宋" w:hAnsi="仿宋" w:eastAsia="仿宋"/>
          <w:sz w:val="24"/>
          <w:szCs w:val="24"/>
        </w:rPr>
        <w:t>6.以下情形的质疑不予受理</w:t>
      </w:r>
    </w:p>
    <w:p w14:paraId="5D59E6D0">
      <w:pPr>
        <w:snapToGrid w:val="0"/>
        <w:ind w:firstLine="480" w:firstLineChars="200"/>
        <w:rPr>
          <w:rFonts w:ascii="仿宋" w:hAnsi="仿宋" w:eastAsia="仿宋"/>
          <w:sz w:val="24"/>
          <w:szCs w:val="24"/>
        </w:rPr>
      </w:pPr>
      <w:r>
        <w:rPr>
          <w:rFonts w:hint="eastAsia" w:ascii="仿宋" w:hAnsi="仿宋" w:eastAsia="仿宋"/>
          <w:sz w:val="24"/>
          <w:szCs w:val="24"/>
        </w:rPr>
        <w:t>（1）内容不符合《政府采购质疑和投诉办法》第十二条规定的质疑。</w:t>
      </w:r>
    </w:p>
    <w:p w14:paraId="506BFE00">
      <w:pPr>
        <w:snapToGrid w:val="0"/>
        <w:ind w:firstLine="480" w:firstLineChars="200"/>
        <w:rPr>
          <w:rFonts w:ascii="仿宋" w:hAnsi="仿宋" w:eastAsia="仿宋"/>
          <w:sz w:val="24"/>
          <w:szCs w:val="24"/>
        </w:rPr>
      </w:pPr>
      <w:r>
        <w:rPr>
          <w:rFonts w:hint="eastAsia" w:ascii="仿宋" w:hAnsi="仿宋" w:eastAsia="仿宋"/>
          <w:sz w:val="24"/>
          <w:szCs w:val="24"/>
        </w:rPr>
        <w:t>（2）超出政府采购法定期限的质疑。</w:t>
      </w:r>
    </w:p>
    <w:p w14:paraId="73C94FF5">
      <w:pPr>
        <w:snapToGrid w:val="0"/>
        <w:ind w:firstLine="480" w:firstLineChars="200"/>
        <w:rPr>
          <w:rFonts w:ascii="仿宋" w:hAnsi="仿宋" w:eastAsia="仿宋"/>
          <w:sz w:val="24"/>
          <w:szCs w:val="24"/>
        </w:rPr>
      </w:pPr>
      <w:r>
        <w:rPr>
          <w:rFonts w:hint="eastAsia" w:ascii="仿宋" w:hAnsi="仿宋" w:eastAsia="仿宋"/>
          <w:sz w:val="24"/>
          <w:szCs w:val="24"/>
        </w:rPr>
        <w:t>（3）以传真、电子邮件等方式递交的非原件形式的质疑。</w:t>
      </w:r>
    </w:p>
    <w:p w14:paraId="0C678088">
      <w:pPr>
        <w:snapToGrid w:val="0"/>
        <w:ind w:firstLine="480" w:firstLineChars="200"/>
        <w:rPr>
          <w:rFonts w:ascii="仿宋" w:hAnsi="仿宋" w:eastAsia="仿宋"/>
          <w:sz w:val="24"/>
          <w:szCs w:val="24"/>
        </w:rPr>
      </w:pPr>
      <w:r>
        <w:rPr>
          <w:rFonts w:hint="eastAsia" w:ascii="仿宋" w:hAnsi="仿宋" w:eastAsia="仿宋"/>
          <w:sz w:val="24"/>
          <w:szCs w:val="24"/>
        </w:rPr>
        <w:t>（4）未参加竞争性磋商活动的供应商或在竞争性磋商活动中自身权益未受到损害的供应商所提出的质疑。</w:t>
      </w:r>
    </w:p>
    <w:p w14:paraId="3A811F4F">
      <w:pPr>
        <w:snapToGrid w:val="0"/>
        <w:ind w:firstLine="480" w:firstLineChars="200"/>
        <w:rPr>
          <w:rFonts w:ascii="仿宋" w:hAnsi="仿宋" w:eastAsia="仿宋"/>
          <w:sz w:val="24"/>
          <w:szCs w:val="24"/>
        </w:rPr>
      </w:pPr>
      <w:r>
        <w:rPr>
          <w:rFonts w:hint="eastAsia" w:ascii="仿宋" w:hAnsi="仿宋" w:eastAsia="仿宋"/>
          <w:sz w:val="24"/>
          <w:szCs w:val="24"/>
        </w:rPr>
        <w:t>（5）供应商组成联合体参加竞争性磋商的，联合体中任何一方或多方未按要求签字、盖章、加盖公章的质疑。</w:t>
      </w:r>
    </w:p>
    <w:p w14:paraId="6342E8A6">
      <w:pPr>
        <w:snapToGrid w:val="0"/>
        <w:ind w:firstLine="480" w:firstLineChars="200"/>
        <w:rPr>
          <w:rFonts w:ascii="仿宋" w:hAnsi="仿宋" w:eastAsia="仿宋"/>
          <w:sz w:val="24"/>
          <w:szCs w:val="24"/>
        </w:rPr>
      </w:pPr>
      <w:r>
        <w:rPr>
          <w:rFonts w:hint="eastAsia" w:ascii="仿宋" w:hAnsi="仿宋" w:eastAsia="仿宋"/>
          <w:sz w:val="24"/>
          <w:szCs w:val="24"/>
        </w:rPr>
        <w:t>（6）供应商提出书面质疑必须有理、有据，不得捏造事实、提供虚假材料进行恶意质疑。否则，一经查实，采购人或者代理机构有权依据政府采购的有关规定，报请政府采购监管部门对该供应商进行相应的行政处罚和记录该供应商的失信信息。</w:t>
      </w:r>
    </w:p>
    <w:p w14:paraId="0817812C">
      <w:pPr>
        <w:snapToGrid w:val="0"/>
        <w:ind w:firstLine="480" w:firstLineChars="200"/>
        <w:jc w:val="left"/>
        <w:rPr>
          <w:rFonts w:ascii="黑体" w:hAnsi="黑体" w:eastAsia="黑体"/>
          <w:sz w:val="24"/>
          <w:szCs w:val="24"/>
        </w:rPr>
      </w:pPr>
    </w:p>
    <w:p w14:paraId="5C1264AA">
      <w:pPr>
        <w:snapToGrid w:val="0"/>
        <w:ind w:firstLine="480" w:firstLineChars="200"/>
        <w:jc w:val="left"/>
        <w:rPr>
          <w:rFonts w:ascii="黑体" w:hAnsi="黑体" w:eastAsia="黑体"/>
          <w:sz w:val="24"/>
          <w:szCs w:val="24"/>
        </w:rPr>
      </w:pPr>
      <w:r>
        <w:rPr>
          <w:rFonts w:hint="eastAsia" w:ascii="黑体" w:hAnsi="黑体" w:eastAsia="黑体"/>
          <w:sz w:val="24"/>
          <w:szCs w:val="24"/>
        </w:rPr>
        <w:t>十一、质疑函范本</w:t>
      </w:r>
    </w:p>
    <w:p w14:paraId="582D9754">
      <w:pPr>
        <w:snapToGrid w:val="0"/>
        <w:jc w:val="center"/>
        <w:rPr>
          <w:rFonts w:ascii="方正小标宋简体" w:hAnsi="宋体" w:eastAsia="方正小标宋简体" w:cs="仿宋"/>
          <w:bCs/>
          <w:sz w:val="24"/>
          <w:szCs w:val="24"/>
        </w:rPr>
      </w:pPr>
      <w:r>
        <w:rPr>
          <w:rFonts w:hint="eastAsia" w:ascii="方正小标宋简体" w:hAnsi="宋体" w:eastAsia="方正小标宋简体" w:cs="仿宋"/>
          <w:bCs/>
          <w:sz w:val="24"/>
          <w:szCs w:val="24"/>
        </w:rPr>
        <w:t>质疑函</w:t>
      </w:r>
    </w:p>
    <w:p w14:paraId="0A341EA1">
      <w:pPr>
        <w:adjustRightInd w:val="0"/>
        <w:snapToGrid w:val="0"/>
        <w:spacing w:beforeLines="100"/>
        <w:rPr>
          <w:rFonts w:ascii="仿宋" w:hAnsi="仿宋" w:eastAsia="仿宋" w:cs="仿宋"/>
          <w:bCs/>
          <w:sz w:val="24"/>
          <w:szCs w:val="24"/>
        </w:rPr>
      </w:pPr>
      <w:r>
        <w:rPr>
          <w:rFonts w:hint="eastAsia" w:ascii="仿宋" w:hAnsi="仿宋" w:eastAsia="仿宋" w:cs="仿宋"/>
          <w:bCs/>
          <w:sz w:val="24"/>
          <w:szCs w:val="24"/>
        </w:rPr>
        <w:t>一、质疑供应商基本信息</w:t>
      </w:r>
    </w:p>
    <w:p w14:paraId="34763B3B">
      <w:pPr>
        <w:adjustRightInd w:val="0"/>
        <w:snapToGrid w:val="0"/>
        <w:rPr>
          <w:rFonts w:ascii="仿宋" w:hAnsi="仿宋" w:eastAsia="仿宋" w:cs="仿宋"/>
          <w:sz w:val="24"/>
          <w:szCs w:val="24"/>
          <w:u w:val="dotted"/>
        </w:rPr>
      </w:pPr>
      <w:r>
        <w:rPr>
          <w:rFonts w:hint="eastAsia" w:ascii="仿宋" w:hAnsi="仿宋" w:eastAsia="仿宋" w:cs="仿宋"/>
          <w:sz w:val="24"/>
          <w:szCs w:val="24"/>
        </w:rPr>
        <w:t>质疑供应商：</w:t>
      </w:r>
      <w:r>
        <w:rPr>
          <w:rFonts w:hint="eastAsia" w:ascii="仿宋" w:hAnsi="仿宋" w:eastAsia="仿宋" w:cs="仿宋"/>
          <w:sz w:val="24"/>
          <w:szCs w:val="24"/>
          <w:u w:val="dotted"/>
        </w:rPr>
        <w:t xml:space="preserve">                                                          </w:t>
      </w:r>
    </w:p>
    <w:p w14:paraId="35DA66C7">
      <w:pPr>
        <w:adjustRightInd w:val="0"/>
        <w:snapToGrid w:val="0"/>
        <w:rPr>
          <w:rFonts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0B6930A1">
      <w:pPr>
        <w:adjustRightInd w:val="0"/>
        <w:snapToGrid w:val="0"/>
        <w:rPr>
          <w:rFonts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dotted"/>
        </w:rPr>
        <w:t xml:space="preserve">                      </w:t>
      </w: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4B3354AF">
      <w:pPr>
        <w:adjustRightInd w:val="0"/>
        <w:snapToGrid w:val="0"/>
        <w:rPr>
          <w:rFonts w:ascii="仿宋" w:hAnsi="仿宋" w:eastAsia="仿宋" w:cs="仿宋"/>
          <w:sz w:val="24"/>
          <w:szCs w:val="24"/>
          <w:u w:val="dotted"/>
        </w:rPr>
      </w:pPr>
      <w:r>
        <w:rPr>
          <w:rFonts w:hint="eastAsia" w:ascii="仿宋" w:hAnsi="仿宋" w:eastAsia="仿宋" w:cs="仿宋"/>
          <w:sz w:val="24"/>
          <w:szCs w:val="24"/>
        </w:rPr>
        <w:t>授权代表：</w:t>
      </w:r>
      <w:r>
        <w:rPr>
          <w:rFonts w:hint="eastAsia" w:ascii="仿宋" w:hAnsi="仿宋" w:eastAsia="仿宋" w:cs="仿宋"/>
          <w:sz w:val="24"/>
          <w:szCs w:val="24"/>
          <w:u w:val="dotted"/>
        </w:rPr>
        <w:t xml:space="preserve">                                                            </w:t>
      </w:r>
    </w:p>
    <w:p w14:paraId="2314F3BC">
      <w:pPr>
        <w:adjustRightInd w:val="0"/>
        <w:snapToGrid w:val="0"/>
        <w:rPr>
          <w:rFonts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sz w:val="24"/>
          <w:szCs w:val="24"/>
          <w:u w:val="dotted"/>
        </w:rPr>
        <w:t xml:space="preserve">                                                            </w:t>
      </w:r>
    </w:p>
    <w:p w14:paraId="68B5F54E">
      <w:pPr>
        <w:adjustRightInd w:val="0"/>
        <w:snapToGrid w:val="0"/>
        <w:rPr>
          <w:rFonts w:ascii="仿宋" w:hAnsi="仿宋" w:eastAsia="仿宋" w:cs="仿宋"/>
          <w:sz w:val="24"/>
          <w:szCs w:val="24"/>
        </w:rPr>
      </w:pPr>
      <w:r>
        <w:rPr>
          <w:rFonts w:hint="eastAsia" w:ascii="仿宋" w:hAnsi="仿宋" w:eastAsia="仿宋" w:cs="仿宋"/>
          <w:sz w:val="24"/>
          <w:szCs w:val="24"/>
        </w:rPr>
        <w:t>地址：</w:t>
      </w:r>
      <w:r>
        <w:rPr>
          <w:rFonts w:ascii="仿宋" w:hAnsi="仿宋" w:eastAsia="仿宋" w:cs="仿宋"/>
          <w:sz w:val="24"/>
          <w:szCs w:val="24"/>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邮编：</w:t>
      </w:r>
      <w:r>
        <w:rPr>
          <w:rFonts w:hint="eastAsia" w:ascii="仿宋" w:hAnsi="仿宋" w:eastAsia="仿宋" w:cs="仿宋"/>
          <w:sz w:val="24"/>
          <w:szCs w:val="24"/>
          <w:u w:val="dotted"/>
        </w:rPr>
        <w:t xml:space="preserve">                                     </w:t>
      </w:r>
    </w:p>
    <w:p w14:paraId="72105827">
      <w:pPr>
        <w:adjustRightInd w:val="0"/>
        <w:snapToGrid w:val="0"/>
        <w:rPr>
          <w:rFonts w:ascii="仿宋" w:hAnsi="仿宋" w:eastAsia="仿宋" w:cs="仿宋"/>
          <w:bCs/>
          <w:sz w:val="24"/>
          <w:szCs w:val="24"/>
        </w:rPr>
      </w:pPr>
      <w:r>
        <w:rPr>
          <w:rFonts w:hint="eastAsia" w:ascii="仿宋" w:hAnsi="仿宋" w:eastAsia="仿宋" w:cs="仿宋"/>
          <w:bCs/>
          <w:sz w:val="24"/>
          <w:szCs w:val="24"/>
        </w:rPr>
        <w:t>二、质疑项目基本情况</w:t>
      </w:r>
    </w:p>
    <w:p w14:paraId="49BB9B8B">
      <w:pPr>
        <w:adjustRightInd w:val="0"/>
        <w:snapToGrid w:val="0"/>
        <w:rPr>
          <w:rFonts w:ascii="仿宋" w:hAnsi="仿宋" w:eastAsia="仿宋" w:cs="仿宋"/>
          <w:sz w:val="24"/>
          <w:szCs w:val="24"/>
        </w:rPr>
      </w:pPr>
      <w:r>
        <w:rPr>
          <w:rFonts w:hint="eastAsia" w:ascii="仿宋" w:hAnsi="仿宋" w:eastAsia="仿宋" w:cs="仿宋"/>
          <w:sz w:val="24"/>
          <w:szCs w:val="24"/>
        </w:rPr>
        <w:t>质疑项目的名称：</w:t>
      </w:r>
      <w:r>
        <w:rPr>
          <w:rFonts w:hint="eastAsia" w:ascii="仿宋" w:hAnsi="仿宋" w:eastAsia="仿宋" w:cs="仿宋"/>
          <w:sz w:val="24"/>
          <w:szCs w:val="24"/>
          <w:u w:val="dotted"/>
        </w:rPr>
        <w:t xml:space="preserve">                                                          </w:t>
      </w:r>
    </w:p>
    <w:p w14:paraId="0ABF2803">
      <w:pPr>
        <w:adjustRightInd w:val="0"/>
        <w:snapToGrid w:val="0"/>
        <w:rPr>
          <w:rFonts w:ascii="仿宋" w:hAnsi="仿宋" w:eastAsia="仿宋" w:cs="仿宋"/>
          <w:sz w:val="24"/>
          <w:szCs w:val="24"/>
        </w:rPr>
      </w:pPr>
      <w:r>
        <w:rPr>
          <w:rFonts w:hint="eastAsia" w:ascii="仿宋" w:hAnsi="仿宋" w:eastAsia="仿宋" w:cs="仿宋"/>
          <w:sz w:val="24"/>
          <w:szCs w:val="24"/>
        </w:rPr>
        <w:t>质疑项目的编号：</w:t>
      </w:r>
      <w:r>
        <w:rPr>
          <w:rFonts w:hint="eastAsia" w:ascii="仿宋" w:hAnsi="仿宋" w:eastAsia="仿宋" w:cs="仿宋"/>
          <w:sz w:val="24"/>
          <w:szCs w:val="24"/>
          <w:u w:val="dotted"/>
        </w:rPr>
        <w:t xml:space="preserve">                         </w:t>
      </w:r>
      <w:r>
        <w:rPr>
          <w:rFonts w:hint="eastAsia" w:ascii="仿宋" w:hAnsi="仿宋" w:eastAsia="仿宋" w:cs="仿宋"/>
          <w:sz w:val="24"/>
          <w:szCs w:val="24"/>
        </w:rPr>
        <w:t>包号：</w:t>
      </w:r>
      <w:r>
        <w:rPr>
          <w:rFonts w:hint="eastAsia" w:ascii="仿宋" w:hAnsi="仿宋" w:eastAsia="仿宋" w:cs="仿宋"/>
          <w:sz w:val="24"/>
          <w:szCs w:val="24"/>
          <w:u w:val="dotted"/>
        </w:rPr>
        <w:t xml:space="preserve">                           </w:t>
      </w:r>
    </w:p>
    <w:p w14:paraId="441FC46B">
      <w:pPr>
        <w:adjustRightInd w:val="0"/>
        <w:snapToGrid w:val="0"/>
        <w:rPr>
          <w:rFonts w:ascii="仿宋" w:hAnsi="仿宋" w:eastAsia="仿宋" w:cs="仿宋"/>
          <w:sz w:val="24"/>
          <w:szCs w:val="24"/>
          <w:u w:val="dotted"/>
        </w:rPr>
      </w:pPr>
      <w:r>
        <w:rPr>
          <w:rFonts w:hint="eastAsia" w:ascii="仿宋" w:hAnsi="仿宋" w:eastAsia="仿宋" w:cs="仿宋"/>
          <w:sz w:val="24"/>
          <w:szCs w:val="24"/>
        </w:rPr>
        <w:t>采购人名称：</w:t>
      </w:r>
      <w:r>
        <w:rPr>
          <w:rFonts w:hint="eastAsia" w:ascii="仿宋" w:hAnsi="仿宋" w:eastAsia="仿宋" w:cs="仿宋"/>
          <w:sz w:val="24"/>
          <w:szCs w:val="24"/>
          <w:u w:val="dotted"/>
        </w:rPr>
        <w:t xml:space="preserve">                                                              </w:t>
      </w:r>
    </w:p>
    <w:p w14:paraId="54207C25">
      <w:pPr>
        <w:adjustRightInd w:val="0"/>
        <w:snapToGrid w:val="0"/>
        <w:rPr>
          <w:rFonts w:ascii="仿宋" w:hAnsi="仿宋" w:eastAsia="仿宋" w:cs="仿宋"/>
          <w:sz w:val="24"/>
          <w:szCs w:val="24"/>
        </w:rPr>
      </w:pPr>
      <w:r>
        <w:rPr>
          <w:rFonts w:hint="eastAsia" w:ascii="仿宋" w:hAnsi="仿宋" w:eastAsia="仿宋" w:cs="仿宋"/>
          <w:sz w:val="24"/>
          <w:szCs w:val="24"/>
        </w:rPr>
        <w:t>采购文件获取日期：</w:t>
      </w:r>
      <w:r>
        <w:rPr>
          <w:rFonts w:hint="eastAsia" w:ascii="仿宋" w:hAnsi="仿宋" w:eastAsia="仿宋" w:cs="仿宋"/>
          <w:sz w:val="24"/>
          <w:szCs w:val="24"/>
          <w:u w:val="dotted"/>
        </w:rPr>
        <w:t xml:space="preserve">                                                        </w:t>
      </w:r>
    </w:p>
    <w:p w14:paraId="5FBED71D">
      <w:pPr>
        <w:adjustRightInd w:val="0"/>
        <w:snapToGrid w:val="0"/>
        <w:rPr>
          <w:rFonts w:ascii="仿宋" w:hAnsi="仿宋" w:eastAsia="仿宋" w:cs="仿宋"/>
          <w:bCs/>
          <w:sz w:val="24"/>
          <w:szCs w:val="24"/>
        </w:rPr>
      </w:pPr>
      <w:r>
        <w:rPr>
          <w:rFonts w:hint="eastAsia" w:ascii="仿宋" w:hAnsi="仿宋" w:eastAsia="仿宋" w:cs="仿宋"/>
          <w:bCs/>
          <w:sz w:val="24"/>
          <w:szCs w:val="24"/>
        </w:rPr>
        <w:t>三、质疑事项具体内容</w:t>
      </w:r>
    </w:p>
    <w:p w14:paraId="6BF38609">
      <w:pPr>
        <w:adjustRightInd w:val="0"/>
        <w:snapToGrid w:val="0"/>
        <w:rPr>
          <w:rFonts w:ascii="仿宋" w:hAnsi="仿宋" w:eastAsia="仿宋" w:cs="仿宋"/>
          <w:sz w:val="24"/>
          <w:szCs w:val="24"/>
          <w:u w:val="dotted"/>
        </w:rPr>
      </w:pPr>
      <w:r>
        <w:rPr>
          <w:rFonts w:hint="eastAsia" w:ascii="仿宋" w:hAnsi="仿宋" w:eastAsia="仿宋" w:cs="仿宋"/>
          <w:sz w:val="24"/>
          <w:szCs w:val="24"/>
        </w:rPr>
        <w:t>质疑事项1：</w:t>
      </w:r>
      <w:r>
        <w:rPr>
          <w:rFonts w:hint="eastAsia" w:ascii="仿宋" w:hAnsi="仿宋" w:eastAsia="仿宋" w:cs="仿宋"/>
          <w:sz w:val="24"/>
          <w:szCs w:val="24"/>
          <w:u w:val="dotted"/>
        </w:rPr>
        <w:t xml:space="preserve">                                                              </w:t>
      </w:r>
    </w:p>
    <w:p w14:paraId="7B4C3614">
      <w:pPr>
        <w:adjustRightInd w:val="0"/>
        <w:snapToGrid w:val="0"/>
        <w:rPr>
          <w:rFonts w:ascii="仿宋" w:hAnsi="仿宋" w:eastAsia="仿宋" w:cs="仿宋"/>
          <w:sz w:val="24"/>
          <w:szCs w:val="24"/>
          <w:u w:val="dotted"/>
        </w:rPr>
      </w:pPr>
      <w:r>
        <w:rPr>
          <w:rFonts w:hint="eastAsia" w:ascii="仿宋" w:hAnsi="仿宋" w:eastAsia="仿宋" w:cs="仿宋"/>
          <w:sz w:val="24"/>
          <w:szCs w:val="24"/>
        </w:rPr>
        <w:t>事实依据：</w:t>
      </w:r>
      <w:r>
        <w:rPr>
          <w:rFonts w:hint="eastAsia" w:ascii="仿宋" w:hAnsi="仿宋" w:eastAsia="仿宋" w:cs="仿宋"/>
          <w:sz w:val="24"/>
          <w:szCs w:val="24"/>
          <w:u w:val="dotted"/>
        </w:rPr>
        <w:t xml:space="preserve">                                                                </w:t>
      </w:r>
    </w:p>
    <w:p w14:paraId="23E13C94">
      <w:pPr>
        <w:adjustRightInd w:val="0"/>
        <w:snapToGrid w:val="0"/>
        <w:rPr>
          <w:rFonts w:ascii="仿宋" w:hAnsi="仿宋" w:eastAsia="仿宋" w:cs="仿宋"/>
          <w:sz w:val="24"/>
          <w:szCs w:val="24"/>
        </w:rPr>
      </w:pPr>
      <w:r>
        <w:rPr>
          <w:rFonts w:hint="eastAsia" w:ascii="仿宋" w:hAnsi="仿宋" w:eastAsia="仿宋" w:cs="仿宋"/>
          <w:sz w:val="24"/>
          <w:szCs w:val="24"/>
          <w:u w:val="dotted"/>
        </w:rPr>
        <w:t xml:space="preserve">                                                                           </w:t>
      </w:r>
    </w:p>
    <w:p w14:paraId="22557AE6">
      <w:pPr>
        <w:adjustRightInd w:val="0"/>
        <w:snapToGrid w:val="0"/>
        <w:rPr>
          <w:rFonts w:ascii="仿宋" w:hAnsi="仿宋" w:eastAsia="仿宋" w:cs="仿宋"/>
          <w:sz w:val="24"/>
          <w:szCs w:val="24"/>
          <w:u w:val="dotted"/>
        </w:rPr>
      </w:pPr>
      <w:r>
        <w:rPr>
          <w:rFonts w:hint="eastAsia" w:ascii="仿宋" w:hAnsi="仿宋" w:eastAsia="仿宋" w:cs="仿宋"/>
          <w:sz w:val="24"/>
          <w:szCs w:val="24"/>
        </w:rPr>
        <w:t>法律依据：</w:t>
      </w:r>
      <w:r>
        <w:rPr>
          <w:rFonts w:hint="eastAsia" w:ascii="仿宋" w:hAnsi="仿宋" w:eastAsia="仿宋" w:cs="仿宋"/>
          <w:sz w:val="24"/>
          <w:szCs w:val="24"/>
          <w:u w:val="dotted"/>
        </w:rPr>
        <w:t xml:space="preserve">                                                                 </w:t>
      </w:r>
    </w:p>
    <w:p w14:paraId="3F1FA362">
      <w:pPr>
        <w:adjustRightInd w:val="0"/>
        <w:snapToGrid w:val="0"/>
        <w:rPr>
          <w:rFonts w:ascii="仿宋" w:hAnsi="仿宋" w:eastAsia="仿宋" w:cs="仿宋"/>
          <w:sz w:val="24"/>
          <w:szCs w:val="24"/>
          <w:u w:val="dotted"/>
        </w:rPr>
      </w:pPr>
      <w:r>
        <w:rPr>
          <w:rFonts w:hint="eastAsia" w:ascii="仿宋" w:hAnsi="仿宋" w:eastAsia="仿宋" w:cs="仿宋"/>
          <w:sz w:val="24"/>
          <w:szCs w:val="24"/>
          <w:u w:val="dotted"/>
        </w:rPr>
        <w:t xml:space="preserve">                                                                           </w:t>
      </w:r>
    </w:p>
    <w:p w14:paraId="0DE2FE62">
      <w:pPr>
        <w:adjustRightInd w:val="0"/>
        <w:snapToGrid w:val="0"/>
        <w:rPr>
          <w:rFonts w:ascii="仿宋" w:hAnsi="仿宋" w:eastAsia="仿宋" w:cs="仿宋"/>
          <w:sz w:val="24"/>
          <w:szCs w:val="24"/>
          <w:u w:val="dotted"/>
        </w:rPr>
      </w:pPr>
      <w:r>
        <w:rPr>
          <w:rFonts w:hint="eastAsia" w:ascii="仿宋" w:hAnsi="仿宋" w:eastAsia="仿宋" w:cs="仿宋"/>
          <w:sz w:val="24"/>
          <w:szCs w:val="24"/>
        </w:rPr>
        <w:t>质疑事项2</w:t>
      </w:r>
    </w:p>
    <w:p w14:paraId="2F5940D3">
      <w:pPr>
        <w:adjustRightInd w:val="0"/>
        <w:snapToGrid w:val="0"/>
        <w:rPr>
          <w:rFonts w:ascii="仿宋" w:hAnsi="仿宋" w:eastAsia="仿宋" w:cs="仿宋"/>
          <w:sz w:val="24"/>
          <w:szCs w:val="24"/>
        </w:rPr>
      </w:pPr>
      <w:r>
        <w:rPr>
          <w:rFonts w:hint="eastAsia" w:ascii="仿宋" w:hAnsi="仿宋" w:eastAsia="仿宋" w:cs="仿宋"/>
          <w:sz w:val="24"/>
          <w:szCs w:val="24"/>
        </w:rPr>
        <w:t>……</w:t>
      </w:r>
    </w:p>
    <w:p w14:paraId="7F56C549">
      <w:pPr>
        <w:adjustRightInd w:val="0"/>
        <w:snapToGrid w:val="0"/>
        <w:rPr>
          <w:rFonts w:ascii="仿宋" w:hAnsi="仿宋" w:eastAsia="仿宋" w:cs="仿宋"/>
          <w:bCs/>
          <w:sz w:val="24"/>
          <w:szCs w:val="24"/>
        </w:rPr>
      </w:pPr>
      <w:r>
        <w:rPr>
          <w:rFonts w:hint="eastAsia" w:ascii="仿宋" w:hAnsi="仿宋" w:eastAsia="仿宋" w:cs="仿宋"/>
          <w:bCs/>
          <w:sz w:val="24"/>
          <w:szCs w:val="24"/>
        </w:rPr>
        <w:t>四、与质疑事项相关的质疑请求</w:t>
      </w:r>
    </w:p>
    <w:p w14:paraId="27387C6A">
      <w:pPr>
        <w:adjustRightInd w:val="0"/>
        <w:snapToGrid w:val="0"/>
        <w:rPr>
          <w:rFonts w:ascii="仿宋" w:hAnsi="仿宋" w:eastAsia="仿宋" w:cs="仿宋"/>
          <w:sz w:val="24"/>
          <w:szCs w:val="24"/>
          <w:u w:val="dotted"/>
        </w:rPr>
      </w:pPr>
      <w:r>
        <w:rPr>
          <w:rFonts w:hint="eastAsia" w:ascii="仿宋" w:hAnsi="仿宋" w:eastAsia="仿宋" w:cs="仿宋"/>
          <w:sz w:val="24"/>
          <w:szCs w:val="24"/>
        </w:rPr>
        <w:t>请求：</w:t>
      </w:r>
      <w:r>
        <w:rPr>
          <w:rFonts w:hint="eastAsia" w:ascii="仿宋" w:hAnsi="仿宋" w:eastAsia="仿宋" w:cs="仿宋"/>
          <w:sz w:val="24"/>
          <w:szCs w:val="24"/>
          <w:u w:val="dotted"/>
        </w:rPr>
        <w:t xml:space="preserve">                                                                     </w:t>
      </w:r>
    </w:p>
    <w:p w14:paraId="7180D688">
      <w:pPr>
        <w:snapToGrid w:val="0"/>
        <w:rPr>
          <w:rFonts w:ascii="仿宋" w:hAnsi="仿宋" w:eastAsia="仿宋"/>
          <w:sz w:val="24"/>
          <w:szCs w:val="24"/>
        </w:rPr>
      </w:pPr>
      <w:r>
        <w:rPr>
          <w:rFonts w:hint="eastAsia" w:ascii="仿宋" w:hAnsi="仿宋" w:eastAsia="仿宋"/>
          <w:sz w:val="24"/>
          <w:szCs w:val="24"/>
        </w:rPr>
        <w:t xml:space="preserve">签字(签章)：                   公章：                      </w:t>
      </w:r>
    </w:p>
    <w:p w14:paraId="28C26E02">
      <w:pPr>
        <w:snapToGrid w:val="0"/>
        <w:rPr>
          <w:rFonts w:ascii="仿宋" w:hAnsi="仿宋" w:eastAsia="仿宋"/>
          <w:sz w:val="24"/>
          <w:szCs w:val="24"/>
        </w:rPr>
      </w:pPr>
      <w:r>
        <w:rPr>
          <w:rFonts w:hint="eastAsia" w:ascii="仿宋" w:hAnsi="仿宋" w:eastAsia="仿宋"/>
          <w:sz w:val="24"/>
          <w:szCs w:val="24"/>
        </w:rPr>
        <w:t xml:space="preserve">日期：    </w:t>
      </w:r>
    </w:p>
    <w:p w14:paraId="50A587DE">
      <w:pPr>
        <w:snapToGrid w:val="0"/>
        <w:rPr>
          <w:rFonts w:ascii="仿宋" w:hAnsi="仿宋" w:eastAsia="仿宋"/>
          <w:b/>
          <w:sz w:val="24"/>
          <w:szCs w:val="24"/>
        </w:rPr>
      </w:pPr>
      <w:r>
        <w:rPr>
          <w:rFonts w:hint="eastAsia" w:ascii="仿宋" w:hAnsi="仿宋" w:eastAsia="仿宋"/>
          <w:b/>
          <w:sz w:val="24"/>
          <w:szCs w:val="24"/>
        </w:rPr>
        <w:t>质疑函制作说明：</w:t>
      </w:r>
    </w:p>
    <w:p w14:paraId="2095DF15">
      <w:pPr>
        <w:snapToGrid w:val="0"/>
        <w:ind w:firstLine="480" w:firstLineChars="200"/>
        <w:rPr>
          <w:rFonts w:ascii="仿宋" w:hAnsi="仿宋" w:eastAsia="仿宋"/>
          <w:b/>
          <w:sz w:val="24"/>
          <w:szCs w:val="24"/>
        </w:rPr>
      </w:pPr>
      <w:r>
        <w:rPr>
          <w:rFonts w:hint="eastAsia" w:ascii="仿宋" w:hAnsi="仿宋" w:eastAsia="仿宋"/>
          <w:sz w:val="24"/>
          <w:szCs w:val="24"/>
        </w:rPr>
        <w:t>①供应商提出质疑时，应提交质疑函和必要的证明材料。</w:t>
      </w:r>
    </w:p>
    <w:p w14:paraId="7665F1DC">
      <w:pPr>
        <w:widowControl/>
        <w:snapToGrid w:val="0"/>
        <w:ind w:firstLine="480" w:firstLineChars="200"/>
        <w:jc w:val="left"/>
        <w:rPr>
          <w:rFonts w:ascii="仿宋" w:hAnsi="仿宋" w:eastAsia="仿宋"/>
          <w:sz w:val="24"/>
          <w:szCs w:val="24"/>
        </w:rPr>
      </w:pPr>
      <w:r>
        <w:rPr>
          <w:rFonts w:hint="eastAsia" w:ascii="仿宋" w:hAnsi="仿宋" w:eastAsia="仿宋"/>
          <w:sz w:val="24"/>
          <w:szCs w:val="24"/>
        </w:rPr>
        <w:t>②质疑供应商若委托代理人进行质疑的，质疑函应按要求列明“授权代表”的有关内容，并在附件中提交由质疑</w:t>
      </w:r>
      <w:r>
        <w:rPr>
          <w:rFonts w:hint="eastAsia" w:ascii="仿宋" w:hAnsi="仿宋" w:eastAsia="仿宋" w:cs="宋体"/>
          <w:kern w:val="0"/>
          <w:sz w:val="24"/>
          <w:szCs w:val="24"/>
        </w:rPr>
        <w:t>供应商签署的授权委托书。授权委托书应载明代理人的姓名或者名称、代理事项、具体权限、期限和相关事项。</w:t>
      </w:r>
    </w:p>
    <w:p w14:paraId="79F1FA0C">
      <w:pPr>
        <w:widowControl/>
        <w:snapToGrid w:val="0"/>
        <w:ind w:firstLine="480" w:firstLineChars="200"/>
        <w:jc w:val="left"/>
        <w:rPr>
          <w:rFonts w:ascii="仿宋" w:hAnsi="仿宋" w:eastAsia="仿宋"/>
          <w:sz w:val="24"/>
          <w:szCs w:val="24"/>
        </w:rPr>
      </w:pPr>
      <w:r>
        <w:rPr>
          <w:rFonts w:hint="eastAsia" w:ascii="仿宋" w:hAnsi="仿宋" w:eastAsia="仿宋"/>
          <w:sz w:val="24"/>
          <w:szCs w:val="24"/>
        </w:rPr>
        <w:t>③质疑供应商若对项目的某一分包进行质疑，质疑函中应列明具体分包号。</w:t>
      </w:r>
    </w:p>
    <w:p w14:paraId="686F07F2">
      <w:pPr>
        <w:widowControl/>
        <w:snapToGrid w:val="0"/>
        <w:ind w:firstLine="480" w:firstLineChars="200"/>
        <w:jc w:val="left"/>
        <w:rPr>
          <w:rFonts w:ascii="仿宋" w:hAnsi="仿宋" w:eastAsia="仿宋"/>
          <w:sz w:val="24"/>
          <w:szCs w:val="24"/>
        </w:rPr>
      </w:pPr>
      <w:r>
        <w:rPr>
          <w:rFonts w:hint="eastAsia" w:ascii="仿宋" w:hAnsi="仿宋" w:eastAsia="仿宋"/>
          <w:sz w:val="24"/>
          <w:szCs w:val="24"/>
        </w:rPr>
        <w:t>④质疑函的质疑事项应具体、明确，并有必要的事实依据和法律依据。</w:t>
      </w:r>
    </w:p>
    <w:p w14:paraId="2DACCE24">
      <w:pPr>
        <w:widowControl/>
        <w:snapToGrid w:val="0"/>
        <w:ind w:firstLine="480" w:firstLineChars="200"/>
        <w:jc w:val="left"/>
        <w:rPr>
          <w:rFonts w:ascii="仿宋" w:hAnsi="仿宋" w:eastAsia="仿宋"/>
          <w:sz w:val="24"/>
          <w:szCs w:val="24"/>
        </w:rPr>
      </w:pPr>
      <w:r>
        <w:rPr>
          <w:rFonts w:hint="eastAsia" w:ascii="仿宋" w:hAnsi="仿宋" w:eastAsia="仿宋"/>
          <w:sz w:val="24"/>
          <w:szCs w:val="24"/>
        </w:rPr>
        <w:t>⑤质疑函的质疑请求应与质疑事项相关。</w:t>
      </w:r>
    </w:p>
    <w:p w14:paraId="0C67402B">
      <w:pPr>
        <w:snapToGrid w:val="0"/>
        <w:ind w:firstLine="480" w:firstLineChars="200"/>
        <w:rPr>
          <w:rFonts w:ascii="仿宋" w:hAnsi="仿宋" w:eastAsia="仿宋"/>
          <w:sz w:val="24"/>
          <w:szCs w:val="24"/>
        </w:rPr>
      </w:pPr>
      <w:r>
        <w:rPr>
          <w:rFonts w:hint="eastAsia" w:ascii="仿宋" w:hAnsi="仿宋" w:eastAsia="仿宋"/>
          <w:sz w:val="24"/>
          <w:szCs w:val="24"/>
        </w:rPr>
        <w:t>⑥质疑供应商为自然人的，质疑函应由本人签字；质疑供应商为法人或者其他组织的，质疑函应由法定代表人、主要负责人，或者其授权代表签字或者盖章，并加盖公章。</w:t>
      </w:r>
    </w:p>
    <w:p w14:paraId="4020211A">
      <w:pPr>
        <w:snapToGrid w:val="0"/>
        <w:ind w:firstLine="480" w:firstLineChars="200"/>
        <w:rPr>
          <w:rFonts w:ascii="黑体" w:hAnsi="黑体" w:eastAsia="黑体"/>
          <w:sz w:val="24"/>
          <w:szCs w:val="24"/>
        </w:rPr>
      </w:pPr>
    </w:p>
    <w:p w14:paraId="531B135E">
      <w:pPr>
        <w:snapToGrid w:val="0"/>
        <w:ind w:firstLine="480" w:firstLineChars="200"/>
        <w:rPr>
          <w:rFonts w:ascii="黑体" w:hAnsi="黑体" w:eastAsia="黑体"/>
          <w:bCs/>
          <w:sz w:val="24"/>
          <w:szCs w:val="24"/>
        </w:rPr>
      </w:pPr>
      <w:r>
        <w:rPr>
          <w:rFonts w:hint="eastAsia" w:ascii="黑体" w:hAnsi="黑体" w:eastAsia="黑体"/>
          <w:sz w:val="24"/>
          <w:szCs w:val="24"/>
        </w:rPr>
        <w:t>十二、政府采购磋商保证金退还申请单范本</w:t>
      </w:r>
    </w:p>
    <w:p w14:paraId="277FECB0">
      <w:pPr>
        <w:snapToGrid w:val="0"/>
        <w:ind w:firstLine="480" w:firstLineChars="200"/>
        <w:jc w:val="center"/>
        <w:rPr>
          <w:rFonts w:ascii="方正小标宋简体" w:hAnsi="宋体" w:eastAsia="方正小标宋简体"/>
          <w:sz w:val="24"/>
          <w:szCs w:val="24"/>
        </w:rPr>
      </w:pPr>
      <w:r>
        <w:rPr>
          <w:rFonts w:hint="eastAsia" w:ascii="方正小标宋简体" w:hAnsi="宋体" w:eastAsia="方正小标宋简体"/>
          <w:sz w:val="24"/>
          <w:szCs w:val="24"/>
        </w:rPr>
        <w:t>政府采购磋商保证金退还申请单</w:t>
      </w:r>
    </w:p>
    <w:p w14:paraId="043C2D00">
      <w:pPr>
        <w:snapToGrid w:val="0"/>
        <w:rPr>
          <w:rFonts w:ascii="仿宋" w:hAnsi="仿宋" w:eastAsia="仿宋"/>
          <w:sz w:val="24"/>
          <w:szCs w:val="24"/>
        </w:rPr>
      </w:pPr>
      <w:r>
        <w:rPr>
          <w:rFonts w:hint="eastAsia" w:ascii="仿宋" w:hAnsi="仿宋" w:eastAsia="仿宋"/>
          <w:sz w:val="24"/>
          <w:szCs w:val="24"/>
        </w:rPr>
        <w:t>代理机构名称：</w:t>
      </w:r>
    </w:p>
    <w:p w14:paraId="0D57CC23">
      <w:pPr>
        <w:snapToGrid w:val="0"/>
        <w:ind w:firstLine="601"/>
        <w:rPr>
          <w:rFonts w:ascii="仿宋" w:hAnsi="仿宋" w:eastAsia="仿宋"/>
          <w:sz w:val="24"/>
          <w:szCs w:val="24"/>
        </w:rPr>
      </w:pPr>
      <w:r>
        <w:rPr>
          <w:rFonts w:hint="eastAsia" w:ascii="仿宋" w:hAnsi="仿宋" w:eastAsia="仿宋"/>
          <w:sz w:val="24"/>
          <w:szCs w:val="24"/>
        </w:rPr>
        <w:t>我公司参加</w:t>
      </w:r>
      <w:r>
        <w:rPr>
          <w:rFonts w:hint="eastAsia" w:ascii="仿宋" w:hAnsi="仿宋" w:eastAsia="仿宋"/>
          <w:sz w:val="24"/>
          <w:szCs w:val="24"/>
          <w:u w:val="single"/>
        </w:rPr>
        <w:t xml:space="preserve">                             </w:t>
      </w:r>
      <w:r>
        <w:rPr>
          <w:rFonts w:hint="eastAsia" w:ascii="仿宋" w:hAnsi="仿宋" w:eastAsia="仿宋"/>
          <w:sz w:val="24"/>
          <w:szCs w:val="24"/>
        </w:rPr>
        <w:t>项目的报价,保证金金额</w:t>
      </w:r>
      <w:r>
        <w:rPr>
          <w:rFonts w:hint="eastAsia" w:ascii="仿宋" w:hAnsi="仿宋" w:eastAsia="仿宋"/>
          <w:sz w:val="24"/>
          <w:szCs w:val="24"/>
          <w:u w:val="single"/>
        </w:rPr>
        <w:t xml:space="preserve">       </w:t>
      </w:r>
      <w:r>
        <w:rPr>
          <w:rFonts w:hint="eastAsia" w:ascii="仿宋" w:hAnsi="仿宋" w:eastAsia="仿宋"/>
          <w:sz w:val="24"/>
          <w:szCs w:val="24"/>
        </w:rPr>
        <w:t>元。</w:t>
      </w:r>
    </w:p>
    <w:p w14:paraId="60143F6A">
      <w:pPr>
        <w:snapToGrid w:val="0"/>
        <w:ind w:firstLine="601"/>
        <w:rPr>
          <w:rFonts w:ascii="仿宋" w:hAnsi="仿宋" w:eastAsia="仿宋"/>
          <w:sz w:val="24"/>
          <w:szCs w:val="24"/>
        </w:rPr>
      </w:pPr>
      <w:r>
        <w:rPr>
          <w:rFonts w:hint="eastAsia" w:ascii="仿宋" w:hAnsi="仿宋" w:eastAsia="仿宋"/>
          <w:sz w:val="24"/>
          <w:szCs w:val="24"/>
        </w:rPr>
        <w:t>现我公司按下述第</w:t>
      </w:r>
      <w:r>
        <w:rPr>
          <w:rFonts w:hint="eastAsia" w:ascii="仿宋" w:hAnsi="仿宋" w:eastAsia="仿宋"/>
          <w:sz w:val="24"/>
          <w:szCs w:val="24"/>
          <w:u w:val="single"/>
        </w:rPr>
        <w:t xml:space="preserve">    </w:t>
      </w:r>
      <w:r>
        <w:rPr>
          <w:rFonts w:hint="eastAsia" w:ascii="仿宋" w:hAnsi="仿宋" w:eastAsia="仿宋"/>
          <w:sz w:val="24"/>
          <w:szCs w:val="24"/>
        </w:rPr>
        <w:t>种情形申请将磋商保证金退至我公司基本账户，请予办理！</w:t>
      </w:r>
    </w:p>
    <w:p w14:paraId="1A0F6AB0">
      <w:pPr>
        <w:snapToGrid w:val="0"/>
        <w:ind w:left="961"/>
        <w:rPr>
          <w:rFonts w:ascii="仿宋" w:hAnsi="仿宋" w:eastAsia="仿宋"/>
          <w:sz w:val="24"/>
          <w:szCs w:val="24"/>
        </w:rPr>
      </w:pPr>
      <w:r>
        <w:rPr>
          <w:rFonts w:hint="eastAsia" w:ascii="仿宋" w:hAnsi="仿宋" w:eastAsia="仿宋"/>
          <w:sz w:val="24"/>
          <w:szCs w:val="24"/>
        </w:rPr>
        <w:t>1.确定为成交供应商且已履约验收完毕（附履约验收报告）；</w:t>
      </w:r>
    </w:p>
    <w:p w14:paraId="15C0D030">
      <w:pPr>
        <w:snapToGrid w:val="0"/>
        <w:ind w:left="961"/>
        <w:rPr>
          <w:rFonts w:ascii="仿宋" w:hAnsi="仿宋" w:eastAsia="仿宋"/>
          <w:sz w:val="24"/>
          <w:szCs w:val="24"/>
        </w:rPr>
      </w:pPr>
      <w:r>
        <w:rPr>
          <w:rFonts w:hint="eastAsia" w:ascii="仿宋" w:hAnsi="仿宋" w:eastAsia="仿宋"/>
          <w:sz w:val="24"/>
          <w:szCs w:val="24"/>
        </w:rPr>
        <w:t>2.确定为成交供应商，已向采购人缴纳履约保证金并签订了采购合同（附缴纳凭证）。</w:t>
      </w:r>
    </w:p>
    <w:p w14:paraId="6430DA82">
      <w:pPr>
        <w:snapToGrid w:val="0"/>
        <w:ind w:firstLine="601"/>
        <w:rPr>
          <w:rFonts w:ascii="仿宋" w:hAnsi="仿宋" w:eastAsia="仿宋"/>
          <w:sz w:val="24"/>
          <w:szCs w:val="24"/>
        </w:rPr>
      </w:pPr>
      <w:r>
        <w:rPr>
          <w:rFonts w:hint="eastAsia" w:ascii="仿宋" w:hAnsi="仿宋" w:eastAsia="仿宋"/>
          <w:sz w:val="24"/>
          <w:szCs w:val="24"/>
        </w:rPr>
        <w:t>账户信息：</w:t>
      </w:r>
    </w:p>
    <w:p w14:paraId="036227DA">
      <w:pPr>
        <w:snapToGrid w:val="0"/>
        <w:ind w:firstLine="601"/>
        <w:rPr>
          <w:rFonts w:ascii="仿宋" w:hAnsi="仿宋" w:eastAsia="仿宋"/>
          <w:sz w:val="24"/>
          <w:szCs w:val="24"/>
          <w:u w:val="single"/>
        </w:rPr>
      </w:pPr>
      <w:r>
        <w:rPr>
          <w:rFonts w:hint="eastAsia" w:ascii="仿宋" w:hAnsi="仿宋" w:eastAsia="仿宋"/>
          <w:sz w:val="24"/>
          <w:szCs w:val="24"/>
        </w:rPr>
        <w:t>户名：</w:t>
      </w:r>
      <w:r>
        <w:rPr>
          <w:rFonts w:hint="eastAsia" w:ascii="仿宋" w:hAnsi="仿宋" w:eastAsia="仿宋"/>
          <w:sz w:val="24"/>
          <w:szCs w:val="24"/>
          <w:u w:val="single"/>
        </w:rPr>
        <w:t xml:space="preserve">              </w:t>
      </w:r>
      <w:r>
        <w:rPr>
          <w:rFonts w:hint="eastAsia" w:ascii="仿宋" w:hAnsi="仿宋" w:eastAsia="仿宋"/>
          <w:sz w:val="24"/>
          <w:szCs w:val="24"/>
        </w:rPr>
        <w:t>，开户行：</w:t>
      </w:r>
      <w:r>
        <w:rPr>
          <w:rFonts w:hint="eastAsia" w:ascii="仿宋" w:hAnsi="仿宋" w:eastAsia="仿宋"/>
          <w:sz w:val="24"/>
          <w:szCs w:val="24"/>
          <w:u w:val="single"/>
        </w:rPr>
        <w:t xml:space="preserve">                      </w:t>
      </w:r>
    </w:p>
    <w:p w14:paraId="0D289E05">
      <w:pPr>
        <w:snapToGrid w:val="0"/>
        <w:ind w:firstLine="601"/>
        <w:rPr>
          <w:rFonts w:ascii="仿宋" w:hAnsi="仿宋" w:eastAsia="仿宋"/>
          <w:sz w:val="24"/>
          <w:szCs w:val="24"/>
          <w:u w:val="single"/>
        </w:rPr>
      </w:pPr>
      <w:r>
        <w:rPr>
          <w:rFonts w:hint="eastAsia" w:ascii="仿宋" w:hAnsi="仿宋" w:eastAsia="仿宋"/>
          <w:sz w:val="24"/>
          <w:szCs w:val="24"/>
        </w:rPr>
        <w:t>账号：</w:t>
      </w:r>
      <w:r>
        <w:rPr>
          <w:rFonts w:hint="eastAsia" w:ascii="仿宋" w:hAnsi="仿宋" w:eastAsia="仿宋"/>
          <w:sz w:val="24"/>
          <w:szCs w:val="24"/>
          <w:u w:val="single"/>
        </w:rPr>
        <w:t xml:space="preserve">                                                </w:t>
      </w:r>
    </w:p>
    <w:p w14:paraId="61499C8F">
      <w:pPr>
        <w:snapToGrid w:val="0"/>
        <w:ind w:firstLine="601"/>
        <w:rPr>
          <w:rFonts w:ascii="仿宋" w:hAnsi="仿宋" w:eastAsia="仿宋"/>
          <w:sz w:val="24"/>
          <w:szCs w:val="24"/>
          <w:u w:val="single"/>
        </w:rPr>
      </w:pPr>
      <w:r>
        <w:rPr>
          <w:rFonts w:hint="eastAsia" w:ascii="仿宋" w:hAnsi="仿宋" w:eastAsia="仿宋"/>
          <w:sz w:val="24"/>
          <w:szCs w:val="24"/>
        </w:rPr>
        <w:t>联系人姓名：</w:t>
      </w:r>
      <w:r>
        <w:rPr>
          <w:rFonts w:hint="eastAsia" w:ascii="仿宋" w:hAnsi="仿宋" w:eastAsia="仿宋"/>
          <w:sz w:val="24"/>
          <w:szCs w:val="24"/>
          <w:u w:val="single"/>
        </w:rPr>
        <w:t xml:space="preserve">               </w:t>
      </w:r>
      <w:r>
        <w:rPr>
          <w:rFonts w:hint="eastAsia" w:ascii="仿宋" w:hAnsi="仿宋" w:eastAsia="仿宋"/>
          <w:sz w:val="24"/>
          <w:szCs w:val="24"/>
        </w:rPr>
        <w:t>，联系电话：</w:t>
      </w:r>
      <w:r>
        <w:rPr>
          <w:rFonts w:hint="eastAsia" w:ascii="仿宋" w:hAnsi="仿宋" w:eastAsia="仿宋"/>
          <w:sz w:val="24"/>
          <w:szCs w:val="24"/>
          <w:u w:val="single"/>
        </w:rPr>
        <w:t xml:space="preserve">               </w:t>
      </w:r>
    </w:p>
    <w:p w14:paraId="4D6E3B4A">
      <w:pPr>
        <w:snapToGrid w:val="0"/>
        <w:rPr>
          <w:rFonts w:ascii="仿宋" w:hAnsi="仿宋" w:eastAsia="仿宋"/>
          <w:sz w:val="24"/>
          <w:szCs w:val="24"/>
        </w:rPr>
      </w:pPr>
    </w:p>
    <w:p w14:paraId="17986745">
      <w:pPr>
        <w:snapToGrid w:val="0"/>
        <w:ind w:firstLine="3720" w:firstLineChars="1550"/>
        <w:rPr>
          <w:rFonts w:ascii="仿宋" w:hAnsi="仿宋" w:eastAsia="仿宋"/>
          <w:sz w:val="24"/>
          <w:szCs w:val="24"/>
        </w:rPr>
      </w:pPr>
      <w:r>
        <w:rPr>
          <w:rFonts w:hint="eastAsia" w:ascii="仿宋" w:hAnsi="仿宋" w:eastAsia="仿宋"/>
          <w:sz w:val="24"/>
          <w:szCs w:val="24"/>
        </w:rPr>
        <w:t xml:space="preserve">供应商名称（公章）：  </w:t>
      </w:r>
    </w:p>
    <w:p w14:paraId="444A620F">
      <w:pPr>
        <w:snapToGrid w:val="0"/>
        <w:ind w:firstLine="4560" w:firstLineChars="1900"/>
        <w:jc w:val="right"/>
        <w:rPr>
          <w:rFonts w:ascii="仿宋" w:hAnsi="仿宋" w:eastAsia="仿宋"/>
          <w:sz w:val="24"/>
          <w:szCs w:val="24"/>
        </w:rPr>
      </w:pPr>
      <w:r>
        <w:rPr>
          <w:rFonts w:hint="eastAsia" w:ascii="仿宋" w:hAnsi="仿宋" w:eastAsia="仿宋"/>
          <w:sz w:val="24"/>
          <w:szCs w:val="24"/>
        </w:rPr>
        <w:t>年   月   日</w:t>
      </w:r>
    </w:p>
    <w:p w14:paraId="550BF4FC">
      <w:pPr>
        <w:snapToGrid w:val="0"/>
        <w:rPr>
          <w:rFonts w:ascii="仿宋" w:hAnsi="仿宋" w:eastAsia="仿宋"/>
          <w:sz w:val="24"/>
          <w:szCs w:val="24"/>
        </w:rPr>
      </w:pPr>
      <w:r>
        <w:rPr>
          <w:rFonts w:hint="eastAsia" w:ascii="仿宋" w:hAnsi="仿宋" w:eastAsia="仿宋"/>
          <w:sz w:val="24"/>
          <w:szCs w:val="24"/>
        </w:rPr>
        <w:t>采购人意见：</w:t>
      </w:r>
    </w:p>
    <w:p w14:paraId="5E58E45F">
      <w:pPr>
        <w:snapToGrid w:val="0"/>
        <w:ind w:firstLine="600"/>
        <w:rPr>
          <w:rFonts w:ascii="仿宋" w:hAnsi="仿宋" w:eastAsia="仿宋"/>
          <w:sz w:val="24"/>
          <w:szCs w:val="24"/>
        </w:rPr>
      </w:pPr>
    </w:p>
    <w:p w14:paraId="71027B3C">
      <w:pPr>
        <w:snapToGrid w:val="0"/>
        <w:ind w:firstLine="2640" w:firstLineChars="1100"/>
        <w:rPr>
          <w:rFonts w:ascii="仿宋" w:hAnsi="仿宋" w:eastAsia="仿宋"/>
          <w:sz w:val="24"/>
          <w:szCs w:val="24"/>
        </w:rPr>
      </w:pPr>
      <w:r>
        <w:rPr>
          <w:rFonts w:hint="eastAsia" w:ascii="仿宋" w:hAnsi="仿宋" w:eastAsia="仿宋"/>
          <w:sz w:val="24"/>
          <w:szCs w:val="24"/>
        </w:rPr>
        <w:t>采购人名称（加盖公章）：</w:t>
      </w:r>
    </w:p>
    <w:p w14:paraId="688EAEFF">
      <w:pPr>
        <w:snapToGrid w:val="0"/>
        <w:ind w:firstLine="4560" w:firstLineChars="1900"/>
        <w:jc w:val="right"/>
        <w:rPr>
          <w:rFonts w:ascii="仿宋" w:hAnsi="仿宋" w:eastAsia="仿宋"/>
          <w:sz w:val="24"/>
          <w:szCs w:val="24"/>
        </w:rPr>
      </w:pPr>
      <w:r>
        <w:rPr>
          <w:rFonts w:hint="eastAsia" w:ascii="仿宋" w:hAnsi="仿宋" w:eastAsia="仿宋"/>
          <w:sz w:val="24"/>
          <w:szCs w:val="24"/>
        </w:rPr>
        <w:t>年   月   日</w:t>
      </w:r>
    </w:p>
    <w:p w14:paraId="564A1027">
      <w:pPr>
        <w:snapToGrid w:val="0"/>
        <w:rPr>
          <w:rFonts w:ascii="仿宋" w:hAnsi="仿宋" w:eastAsia="仿宋"/>
          <w:sz w:val="24"/>
          <w:szCs w:val="24"/>
        </w:rPr>
      </w:pPr>
      <w:r>
        <w:rPr>
          <w:rFonts w:hint="eastAsia" w:ascii="仿宋" w:hAnsi="仿宋" w:eastAsia="仿宋"/>
          <w:sz w:val="24"/>
          <w:szCs w:val="24"/>
        </w:rPr>
        <w:t>代理机构意见：</w:t>
      </w:r>
    </w:p>
    <w:p w14:paraId="1A624643">
      <w:pPr>
        <w:snapToGrid w:val="0"/>
        <w:ind w:firstLine="600"/>
        <w:rPr>
          <w:rFonts w:ascii="仿宋" w:hAnsi="仿宋" w:eastAsia="仿宋"/>
          <w:sz w:val="24"/>
          <w:szCs w:val="24"/>
        </w:rPr>
      </w:pPr>
    </w:p>
    <w:p w14:paraId="139C7F50">
      <w:pPr>
        <w:snapToGrid w:val="0"/>
        <w:ind w:firstLine="2640" w:firstLineChars="1100"/>
        <w:rPr>
          <w:rFonts w:ascii="仿宋" w:hAnsi="仿宋" w:eastAsia="仿宋"/>
          <w:sz w:val="24"/>
          <w:szCs w:val="24"/>
        </w:rPr>
      </w:pPr>
      <w:r>
        <w:rPr>
          <w:rFonts w:hint="eastAsia" w:ascii="仿宋" w:hAnsi="仿宋" w:eastAsia="仿宋"/>
          <w:sz w:val="24"/>
          <w:szCs w:val="24"/>
        </w:rPr>
        <w:t>代理机构名称（加盖公章）：</w:t>
      </w:r>
    </w:p>
    <w:p w14:paraId="0AE17607">
      <w:pPr>
        <w:snapToGrid w:val="0"/>
        <w:ind w:firstLine="480" w:firstLineChars="200"/>
        <w:jc w:val="right"/>
        <w:rPr>
          <w:rFonts w:ascii="黑体" w:hAnsi="黑体" w:eastAsia="黑体"/>
          <w:sz w:val="24"/>
          <w:szCs w:val="24"/>
        </w:rPr>
      </w:pPr>
      <w:r>
        <w:rPr>
          <w:rFonts w:hint="eastAsia" w:ascii="仿宋" w:hAnsi="仿宋" w:eastAsia="仿宋"/>
          <w:sz w:val="24"/>
          <w:szCs w:val="24"/>
        </w:rPr>
        <w:t>年   月   日</w:t>
      </w:r>
    </w:p>
    <w:p w14:paraId="687C1F96">
      <w:pPr>
        <w:snapToGrid w:val="0"/>
        <w:ind w:firstLine="480" w:firstLineChars="200"/>
        <w:jc w:val="left"/>
        <w:rPr>
          <w:rFonts w:ascii="黑体" w:hAnsi="黑体" w:eastAsia="黑体"/>
          <w:sz w:val="24"/>
          <w:szCs w:val="24"/>
        </w:rPr>
      </w:pPr>
    </w:p>
    <w:p w14:paraId="2F14C9FE">
      <w:pPr>
        <w:snapToGrid w:val="0"/>
        <w:ind w:firstLine="480" w:firstLineChars="200"/>
        <w:jc w:val="left"/>
        <w:rPr>
          <w:rFonts w:ascii="黑体" w:hAnsi="黑体" w:eastAsia="黑体"/>
          <w:sz w:val="24"/>
          <w:szCs w:val="24"/>
        </w:rPr>
      </w:pPr>
      <w:r>
        <w:rPr>
          <w:rFonts w:hint="eastAsia" w:ascii="黑体" w:hAnsi="黑体" w:eastAsia="黑体"/>
          <w:sz w:val="24"/>
          <w:szCs w:val="24"/>
        </w:rPr>
        <w:t>十三、</w:t>
      </w:r>
      <w:r>
        <w:rPr>
          <w:rFonts w:hint="eastAsia" w:ascii="黑体" w:hAnsi="黑体" w:eastAsia="黑体"/>
          <w:bCs/>
          <w:sz w:val="24"/>
          <w:szCs w:val="24"/>
        </w:rPr>
        <w:t>南通师范高等专科学校采购项目中标（成交）通知书范本</w:t>
      </w:r>
    </w:p>
    <w:p w14:paraId="727375C1">
      <w:pPr>
        <w:snapToGrid w:val="0"/>
        <w:jc w:val="center"/>
        <w:rPr>
          <w:rFonts w:ascii="方正小标宋简体" w:eastAsia="方正小标宋简体"/>
          <w:sz w:val="24"/>
          <w:szCs w:val="24"/>
        </w:rPr>
      </w:pPr>
      <w:r>
        <w:rPr>
          <w:rFonts w:hint="eastAsia" w:ascii="方正小标宋简体" w:eastAsia="方正小标宋简体"/>
          <w:sz w:val="24"/>
          <w:szCs w:val="24"/>
        </w:rPr>
        <w:t>南通师范高等专科学校食主校区食堂改造设计</w:t>
      </w:r>
    </w:p>
    <w:p w14:paraId="7BA888A3">
      <w:pPr>
        <w:snapToGrid w:val="0"/>
        <w:jc w:val="center"/>
        <w:rPr>
          <w:rFonts w:ascii="方正小标宋简体" w:eastAsia="方正小标宋简体"/>
          <w:sz w:val="24"/>
          <w:szCs w:val="24"/>
        </w:rPr>
      </w:pPr>
      <w:r>
        <w:rPr>
          <w:rFonts w:hint="eastAsia" w:ascii="方正小标宋简体" w:eastAsia="方正小标宋简体"/>
          <w:sz w:val="24"/>
          <w:szCs w:val="24"/>
        </w:rPr>
        <w:t>采购项目中标（成交）通知书</w:t>
      </w:r>
    </w:p>
    <w:p w14:paraId="77EE21AE">
      <w:pPr>
        <w:wordWrap w:val="0"/>
        <w:snapToGrid w:val="0"/>
        <w:jc w:val="right"/>
        <w:rPr>
          <w:rFonts w:ascii="仿宋" w:hAnsi="仿宋" w:eastAsia="仿宋"/>
          <w:sz w:val="24"/>
          <w:szCs w:val="24"/>
        </w:rPr>
      </w:pPr>
      <w:r>
        <w:rPr>
          <w:rFonts w:hint="eastAsia" w:ascii="仿宋" w:hAnsi="仿宋" w:eastAsia="仿宋"/>
          <w:sz w:val="24"/>
          <w:szCs w:val="24"/>
        </w:rPr>
        <w:t>项目计划编号：</w:t>
      </w:r>
      <w:r>
        <w:rPr>
          <w:rFonts w:hint="eastAsia" w:ascii="仿宋" w:hAnsi="仿宋" w:eastAsia="仿宋"/>
          <w:sz w:val="24"/>
          <w:szCs w:val="24"/>
          <w:u w:val="single"/>
        </w:rPr>
        <w:t xml:space="preserve">                 </w:t>
      </w:r>
    </w:p>
    <w:p w14:paraId="5ACAC1FE">
      <w:pPr>
        <w:snapToGrid w:val="0"/>
        <w:jc w:val="left"/>
        <w:rPr>
          <w:rFonts w:ascii="仿宋" w:hAnsi="仿宋" w:eastAsia="仿宋"/>
          <w:sz w:val="24"/>
          <w:szCs w:val="24"/>
          <w:u w:val="single"/>
        </w:rPr>
      </w:pPr>
    </w:p>
    <w:p w14:paraId="28800CFF">
      <w:pPr>
        <w:snapToGrid w:val="0"/>
        <w:jc w:val="left"/>
        <w:rPr>
          <w:rFonts w:ascii="仿宋" w:hAnsi="仿宋" w:eastAsia="仿宋"/>
          <w:sz w:val="24"/>
          <w:szCs w:val="24"/>
          <w:u w:val="single"/>
        </w:rPr>
      </w:pPr>
      <w:r>
        <w:rPr>
          <w:rFonts w:hint="eastAsia" w:ascii="仿宋" w:hAnsi="仿宋" w:eastAsia="仿宋"/>
          <w:sz w:val="24"/>
          <w:szCs w:val="24"/>
          <w:u w:val="single"/>
        </w:rPr>
        <w:t>（中标或成交供应商名称）：</w:t>
      </w:r>
    </w:p>
    <w:p w14:paraId="2A7EFB64">
      <w:pPr>
        <w:snapToGrid w:val="0"/>
        <w:ind w:firstLine="480" w:firstLineChars="200"/>
        <w:jc w:val="left"/>
        <w:rPr>
          <w:rFonts w:ascii="仿宋" w:hAnsi="仿宋" w:eastAsia="仿宋"/>
          <w:sz w:val="24"/>
          <w:szCs w:val="24"/>
        </w:rPr>
      </w:pPr>
      <w:r>
        <w:rPr>
          <w:rFonts w:hint="eastAsia" w:ascii="仿宋" w:hAnsi="仿宋" w:eastAsia="仿宋"/>
          <w:sz w:val="24"/>
          <w:szCs w:val="24"/>
          <w:u w:val="single"/>
        </w:rPr>
        <w:t>（</w:t>
      </w:r>
      <w:r>
        <w:rPr>
          <w:rFonts w:hint="eastAsia" w:ascii="仿宋" w:hAnsi="仿宋" w:eastAsia="仿宋"/>
          <w:i/>
          <w:sz w:val="24"/>
          <w:szCs w:val="24"/>
          <w:u w:val="single"/>
        </w:rPr>
        <w:t>项目名称</w:t>
      </w:r>
      <w:r>
        <w:rPr>
          <w:rFonts w:hint="eastAsia" w:ascii="仿宋" w:hAnsi="仿宋" w:eastAsia="仿宋"/>
          <w:sz w:val="24"/>
          <w:szCs w:val="24"/>
          <w:u w:val="single"/>
        </w:rPr>
        <w:t>）</w:t>
      </w:r>
      <w:r>
        <w:rPr>
          <w:rFonts w:hint="eastAsia" w:ascii="仿宋" w:hAnsi="仿宋" w:eastAsia="仿宋"/>
          <w:sz w:val="24"/>
          <w:szCs w:val="24"/>
        </w:rPr>
        <w:t>项目经评审，确定你单位为中标(成交)供应商，中标（成交）金额为</w:t>
      </w:r>
      <w:r>
        <w:rPr>
          <w:rFonts w:hint="eastAsia" w:ascii="仿宋" w:hAnsi="仿宋" w:eastAsia="仿宋"/>
          <w:sz w:val="24"/>
          <w:szCs w:val="24"/>
          <w:u w:val="single"/>
        </w:rPr>
        <w:t xml:space="preserve">*** </w:t>
      </w:r>
      <w:r>
        <w:rPr>
          <w:rFonts w:hint="eastAsia" w:ascii="仿宋" w:hAnsi="仿宋" w:eastAsia="仿宋"/>
          <w:sz w:val="24"/>
          <w:szCs w:val="24"/>
        </w:rPr>
        <w:t>元，大写：</w:t>
      </w:r>
      <w:r>
        <w:rPr>
          <w:rFonts w:hint="eastAsia" w:ascii="仿宋" w:hAnsi="仿宋" w:eastAsia="仿宋"/>
          <w:sz w:val="24"/>
          <w:szCs w:val="24"/>
          <w:u w:val="single"/>
        </w:rPr>
        <w:t xml:space="preserve">            </w:t>
      </w:r>
      <w:r>
        <w:rPr>
          <w:rFonts w:hint="eastAsia" w:ascii="仿宋" w:hAnsi="仿宋" w:eastAsia="仿宋"/>
          <w:sz w:val="24"/>
          <w:szCs w:val="24"/>
        </w:rPr>
        <w:t>。现将有关事宜通知如下：</w:t>
      </w:r>
    </w:p>
    <w:p w14:paraId="6BAE645D">
      <w:pPr>
        <w:snapToGrid w:val="0"/>
        <w:ind w:firstLine="480" w:firstLineChars="200"/>
        <w:jc w:val="left"/>
        <w:rPr>
          <w:rFonts w:ascii="仿宋" w:hAnsi="仿宋" w:eastAsia="仿宋"/>
          <w:sz w:val="24"/>
          <w:szCs w:val="24"/>
        </w:rPr>
      </w:pPr>
      <w:r>
        <w:rPr>
          <w:rFonts w:hint="eastAsia" w:ascii="仿宋" w:hAnsi="仿宋" w:eastAsia="仿宋"/>
          <w:sz w:val="24"/>
          <w:szCs w:val="24"/>
        </w:rPr>
        <w:t>1、自收到本通知书后5个工作日内，按照中标（成交）金额10%向采购人缴纳履约保证金并签订合同，所签合同不得对采购文件作实质性修改。</w:t>
      </w:r>
    </w:p>
    <w:p w14:paraId="4896052D">
      <w:pPr>
        <w:snapToGrid w:val="0"/>
        <w:ind w:firstLine="480" w:firstLineChars="200"/>
        <w:jc w:val="left"/>
        <w:rPr>
          <w:rFonts w:ascii="仿宋" w:hAnsi="仿宋" w:eastAsia="仿宋"/>
          <w:sz w:val="24"/>
          <w:szCs w:val="24"/>
        </w:rPr>
      </w:pPr>
      <w:r>
        <w:rPr>
          <w:rFonts w:hint="eastAsia" w:ascii="仿宋" w:hAnsi="仿宋" w:eastAsia="仿宋"/>
          <w:sz w:val="24"/>
          <w:szCs w:val="24"/>
        </w:rPr>
        <w:t>2、请按合同约定认真履约。履约结束后及时以书面形式向采购人提请组织验收。</w:t>
      </w:r>
    </w:p>
    <w:p w14:paraId="69881D5E">
      <w:pPr>
        <w:snapToGrid w:val="0"/>
        <w:ind w:firstLine="480" w:firstLineChars="200"/>
        <w:jc w:val="left"/>
        <w:rPr>
          <w:rFonts w:ascii="仿宋" w:hAnsi="仿宋" w:eastAsia="仿宋"/>
          <w:sz w:val="24"/>
          <w:szCs w:val="24"/>
        </w:rPr>
      </w:pPr>
      <w:r>
        <w:rPr>
          <w:rFonts w:hint="eastAsia" w:ascii="仿宋" w:hAnsi="仿宋" w:eastAsia="仿宋"/>
          <w:sz w:val="24"/>
          <w:szCs w:val="24"/>
        </w:rPr>
        <w:t>3、不能按时签订合同、履约的，请提前向采购人和代理机构（如有）说明。因你公司原因不能按时签订合同、履约的，应承担相应法律和经济责任。</w:t>
      </w:r>
    </w:p>
    <w:p w14:paraId="4CE02001">
      <w:pPr>
        <w:snapToGrid w:val="0"/>
        <w:ind w:firstLine="480" w:firstLineChars="200"/>
        <w:rPr>
          <w:rFonts w:ascii="仿宋" w:hAnsi="仿宋" w:eastAsia="仿宋"/>
          <w:sz w:val="24"/>
          <w:szCs w:val="24"/>
        </w:rPr>
      </w:pPr>
    </w:p>
    <w:p w14:paraId="7BBAFABE">
      <w:pPr>
        <w:snapToGrid w:val="0"/>
        <w:ind w:firstLine="1080" w:firstLineChars="450"/>
        <w:rPr>
          <w:rFonts w:ascii="仿宋" w:hAnsi="仿宋" w:eastAsia="仿宋"/>
          <w:sz w:val="24"/>
          <w:szCs w:val="24"/>
        </w:rPr>
      </w:pPr>
      <w:r>
        <w:rPr>
          <w:rFonts w:hint="eastAsia" w:ascii="仿宋" w:hAnsi="仿宋" w:eastAsia="仿宋"/>
          <w:sz w:val="24"/>
          <w:szCs w:val="24"/>
        </w:rPr>
        <w:t xml:space="preserve">采购人名称（公章）： </w:t>
      </w:r>
    </w:p>
    <w:p w14:paraId="47A010D6">
      <w:pPr>
        <w:snapToGrid w:val="0"/>
        <w:ind w:firstLine="600" w:firstLineChars="250"/>
        <w:jc w:val="right"/>
        <w:rPr>
          <w:rFonts w:ascii="仿宋" w:hAnsi="仿宋" w:eastAsia="仿宋"/>
          <w:sz w:val="24"/>
          <w:szCs w:val="24"/>
        </w:rPr>
      </w:pPr>
      <w:r>
        <w:rPr>
          <w:rFonts w:hint="eastAsia" w:ascii="仿宋" w:hAnsi="仿宋" w:eastAsia="仿宋"/>
          <w:sz w:val="24"/>
          <w:szCs w:val="24"/>
        </w:rPr>
        <w:t>年   月   日</w:t>
      </w:r>
    </w:p>
    <w:p w14:paraId="2BFB7A51">
      <w:pPr>
        <w:snapToGrid w:val="0"/>
        <w:ind w:firstLine="600" w:firstLineChars="250"/>
        <w:jc w:val="right"/>
        <w:rPr>
          <w:rFonts w:ascii="仿宋" w:hAnsi="仿宋" w:eastAsia="仿宋"/>
          <w:sz w:val="24"/>
          <w:szCs w:val="24"/>
        </w:rPr>
      </w:pPr>
    </w:p>
    <w:p w14:paraId="46444B3F">
      <w:pPr>
        <w:snapToGrid w:val="0"/>
        <w:ind w:firstLine="720" w:firstLineChars="300"/>
        <w:rPr>
          <w:rFonts w:ascii="仿宋" w:hAnsi="仿宋" w:eastAsia="仿宋"/>
          <w:sz w:val="24"/>
          <w:szCs w:val="24"/>
        </w:rPr>
      </w:pPr>
      <w:r>
        <w:rPr>
          <w:rFonts w:hint="eastAsia" w:ascii="仿宋" w:hAnsi="仿宋" w:eastAsia="仿宋"/>
          <w:sz w:val="24"/>
          <w:szCs w:val="24"/>
        </w:rPr>
        <w:t>代理机构（如有）名称（公章）：</w:t>
      </w:r>
    </w:p>
    <w:p w14:paraId="347DC35A">
      <w:pPr>
        <w:snapToGrid w:val="0"/>
        <w:ind w:firstLine="600" w:firstLineChars="250"/>
        <w:jc w:val="right"/>
        <w:rPr>
          <w:rFonts w:ascii="仿宋" w:hAnsi="仿宋" w:eastAsia="仿宋"/>
          <w:sz w:val="24"/>
          <w:szCs w:val="24"/>
        </w:rPr>
      </w:pPr>
      <w:r>
        <w:rPr>
          <w:rFonts w:hint="eastAsia" w:ascii="仿宋" w:hAnsi="仿宋" w:eastAsia="仿宋"/>
          <w:sz w:val="24"/>
          <w:szCs w:val="24"/>
        </w:rPr>
        <w:t>年   月   日</w:t>
      </w:r>
    </w:p>
    <w:p w14:paraId="6824CE4D">
      <w:pPr>
        <w:snapToGrid w:val="0"/>
        <w:rPr>
          <w:rFonts w:hAnsi="楷体" w:eastAsia="楷体"/>
          <w:w w:val="90"/>
          <w:sz w:val="24"/>
          <w:szCs w:val="24"/>
        </w:rPr>
      </w:pPr>
    </w:p>
    <w:p w14:paraId="675753B5">
      <w:pPr>
        <w:snapToGrid w:val="0"/>
        <w:ind w:firstLine="432" w:firstLineChars="200"/>
        <w:outlineLvl w:val="0"/>
        <w:rPr>
          <w:rFonts w:ascii="黑体" w:hAnsi="黑体" w:eastAsia="黑体"/>
          <w:sz w:val="24"/>
          <w:szCs w:val="24"/>
        </w:rPr>
      </w:pPr>
      <w:r>
        <w:rPr>
          <w:rFonts w:hAnsi="楷体" w:eastAsia="楷体"/>
          <w:w w:val="90"/>
          <w:sz w:val="24"/>
          <w:szCs w:val="24"/>
        </w:rPr>
        <w:t>注：本中标（成交）通知书一式三份（采购人、供应商、代理机构（如有）各一份）。</w:t>
      </w:r>
    </w:p>
    <w:p w14:paraId="204ABE95">
      <w:pPr>
        <w:snapToGrid w:val="0"/>
        <w:ind w:firstLine="480" w:firstLineChars="200"/>
        <w:outlineLvl w:val="0"/>
        <w:rPr>
          <w:rFonts w:ascii="黑体" w:hAnsi="黑体" w:eastAsia="黑体"/>
          <w:sz w:val="24"/>
          <w:szCs w:val="24"/>
        </w:rPr>
      </w:pPr>
    </w:p>
    <w:p w14:paraId="061AAB87">
      <w:pPr>
        <w:snapToGrid w:val="0"/>
        <w:ind w:firstLine="480" w:firstLineChars="200"/>
        <w:outlineLvl w:val="0"/>
        <w:rPr>
          <w:rFonts w:ascii="黑体" w:hAnsi="黑体" w:eastAsia="黑体"/>
          <w:sz w:val="24"/>
          <w:szCs w:val="24"/>
        </w:rPr>
      </w:pPr>
      <w:r>
        <w:rPr>
          <w:rFonts w:hint="eastAsia" w:ascii="黑体" w:hAnsi="黑体" w:eastAsia="黑体"/>
          <w:sz w:val="24"/>
          <w:szCs w:val="24"/>
        </w:rPr>
        <w:t>十四、注意事项</w:t>
      </w:r>
    </w:p>
    <w:p w14:paraId="1447E57D">
      <w:pPr>
        <w:snapToGrid w:val="0"/>
        <w:ind w:firstLine="480" w:firstLineChars="200"/>
        <w:rPr>
          <w:rFonts w:ascii="仿宋" w:hAnsi="仿宋" w:eastAsia="仿宋"/>
          <w:sz w:val="24"/>
          <w:szCs w:val="24"/>
        </w:rPr>
      </w:pPr>
      <w:r>
        <w:rPr>
          <w:rFonts w:hint="eastAsia" w:ascii="仿宋" w:hAnsi="仿宋" w:eastAsia="仿宋"/>
          <w:sz w:val="24"/>
          <w:szCs w:val="24"/>
        </w:rPr>
        <w:t>1.主要技术参数：为鼓励不同品牌的充分竞争，如某主要技术参数属于个别品牌专有，则该主要技术参数不具有限制性，供应商可对该参数进行适当调整，并说明调整的理由。</w:t>
      </w:r>
    </w:p>
    <w:p w14:paraId="3DF17334">
      <w:pPr>
        <w:snapToGrid w:val="0"/>
        <w:ind w:firstLine="480" w:firstLineChars="200"/>
        <w:rPr>
          <w:rFonts w:ascii="仿宋" w:hAnsi="仿宋" w:eastAsia="仿宋"/>
          <w:sz w:val="24"/>
          <w:szCs w:val="24"/>
        </w:rPr>
      </w:pPr>
      <w:r>
        <w:rPr>
          <w:rFonts w:hint="eastAsia" w:ascii="仿宋" w:hAnsi="仿宋" w:eastAsia="仿宋"/>
          <w:sz w:val="24"/>
          <w:szCs w:val="24"/>
        </w:rPr>
        <w:t>2.推荐品牌：项目中有列明的品牌、型号为优先选用的品牌、型号，投标人也可选用其他品牌、型号替代，但替代的品牌、型号在实质性要求和条件上要相当于或优于参考品牌、型号。相当于或优于参考品牌、型号的证明材料由投标人提供，由评委确认。投标人未提供证明材料的，视为无效投标。</w:t>
      </w:r>
    </w:p>
    <w:p w14:paraId="1BB22300">
      <w:pPr>
        <w:snapToGrid w:val="0"/>
        <w:ind w:firstLine="480" w:firstLineChars="200"/>
        <w:rPr>
          <w:rFonts w:ascii="仿宋" w:hAnsi="仿宋" w:eastAsia="仿宋"/>
          <w:sz w:val="24"/>
          <w:szCs w:val="24"/>
        </w:rPr>
      </w:pPr>
      <w:r>
        <w:rPr>
          <w:rFonts w:hint="eastAsia" w:ascii="仿宋" w:hAnsi="仿宋" w:eastAsia="仿宋"/>
          <w:sz w:val="24"/>
          <w:szCs w:val="24"/>
        </w:rPr>
        <w:t>3.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16498D5D">
      <w:pPr>
        <w:snapToGrid w:val="0"/>
        <w:ind w:firstLine="480" w:firstLineChars="200"/>
        <w:rPr>
          <w:rFonts w:ascii="仿宋" w:hAnsi="仿宋" w:eastAsia="仿宋"/>
          <w:sz w:val="24"/>
          <w:szCs w:val="24"/>
        </w:rPr>
      </w:pPr>
      <w:r>
        <w:rPr>
          <w:rFonts w:hint="eastAsia" w:ascii="仿宋" w:hAnsi="仿宋" w:eastAsia="仿宋"/>
          <w:sz w:val="24"/>
          <w:szCs w:val="24"/>
        </w:rPr>
        <w:t>4.产品品牌与型号：</w:t>
      </w:r>
      <w:r>
        <w:rPr>
          <w:rFonts w:ascii="仿宋" w:hAnsi="仿宋" w:eastAsia="仿宋"/>
          <w:sz w:val="24"/>
          <w:szCs w:val="24"/>
        </w:rPr>
        <w:t>供应商响应文件中必须明确主要产品的品牌、规格型号、性能指标等内容，可附产品介绍图文资料。供应商响应文件未明确主要产品的品牌、规格型号、性能指标等内容的，视为无效响应文件。</w:t>
      </w:r>
    </w:p>
    <w:p w14:paraId="1777DE41">
      <w:pPr>
        <w:snapToGrid w:val="0"/>
        <w:ind w:firstLine="480" w:firstLineChars="200"/>
        <w:rPr>
          <w:rFonts w:ascii="仿宋" w:hAnsi="仿宋" w:eastAsia="仿宋"/>
          <w:sz w:val="24"/>
          <w:szCs w:val="24"/>
        </w:rPr>
      </w:pPr>
      <w:r>
        <w:rPr>
          <w:rFonts w:hint="eastAsia" w:ascii="仿宋" w:hAnsi="仿宋" w:eastAsia="仿宋"/>
          <w:sz w:val="24"/>
          <w:szCs w:val="24"/>
        </w:rPr>
        <w:t>5.★号条款：标注★号的内容为实质性要求和条件，不允许有负偏离。一般要求和条件的负偏离不得超过叁个。</w:t>
      </w:r>
    </w:p>
    <w:p w14:paraId="7FC6741A">
      <w:pPr>
        <w:widowControl/>
        <w:shd w:val="clear" w:color="auto" w:fill="FFFFFF"/>
        <w:snapToGrid w:val="0"/>
        <w:ind w:firstLine="465"/>
        <w:jc w:val="left"/>
        <w:rPr>
          <w:rFonts w:ascii="黑体" w:hAnsi="黑体" w:eastAsia="黑体"/>
          <w:sz w:val="24"/>
          <w:szCs w:val="24"/>
        </w:rPr>
      </w:pPr>
    </w:p>
    <w:p w14:paraId="621428D4">
      <w:pPr>
        <w:widowControl/>
        <w:shd w:val="clear" w:color="auto" w:fill="FFFFFF"/>
        <w:snapToGrid w:val="0"/>
        <w:ind w:firstLine="465"/>
        <w:jc w:val="left"/>
        <w:rPr>
          <w:rFonts w:ascii="黑体" w:hAnsi="黑体" w:eastAsia="黑体"/>
          <w:sz w:val="24"/>
          <w:szCs w:val="24"/>
        </w:rPr>
      </w:pPr>
      <w:r>
        <w:rPr>
          <w:rFonts w:hint="eastAsia" w:ascii="黑体" w:hAnsi="黑体" w:eastAsia="黑体"/>
          <w:sz w:val="24"/>
          <w:szCs w:val="24"/>
        </w:rPr>
        <w:t>十五</w:t>
      </w:r>
      <w:r>
        <w:rPr>
          <w:rFonts w:hint="eastAsia" w:ascii="宋体" w:hAnsi="宋体"/>
          <w:bCs/>
          <w:kern w:val="0"/>
          <w:sz w:val="24"/>
          <w:szCs w:val="24"/>
        </w:rPr>
        <w:t>、</w:t>
      </w:r>
      <w:r>
        <w:rPr>
          <w:rFonts w:hint="eastAsia" w:ascii="宋体" w:hAnsi="宋体"/>
          <w:b/>
          <w:bCs/>
          <w:kern w:val="0"/>
          <w:sz w:val="24"/>
          <w:szCs w:val="24"/>
        </w:rPr>
        <w:t>未</w:t>
      </w:r>
      <w:r>
        <w:rPr>
          <w:rFonts w:hint="eastAsia" w:ascii="黑体" w:hAnsi="黑体" w:eastAsia="黑体"/>
          <w:b/>
          <w:sz w:val="24"/>
          <w:szCs w:val="24"/>
        </w:rPr>
        <w:t>尽</w:t>
      </w:r>
      <w:r>
        <w:rPr>
          <w:rFonts w:hint="eastAsia" w:ascii="黑体" w:hAnsi="黑体" w:eastAsia="黑体"/>
          <w:sz w:val="24"/>
          <w:szCs w:val="24"/>
        </w:rPr>
        <w:t>事宜</w:t>
      </w:r>
    </w:p>
    <w:p w14:paraId="655FAE45">
      <w:pPr>
        <w:snapToGrid w:val="0"/>
        <w:ind w:firstLine="480" w:firstLineChars="200"/>
        <w:jc w:val="left"/>
        <w:rPr>
          <w:rFonts w:asciiTheme="minorEastAsia" w:hAnsiTheme="minorEastAsia" w:eastAsiaTheme="minorEastAsia" w:cstheme="minorEastAsia"/>
          <w:strike/>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sz w:val="24"/>
          <w:szCs w:val="24"/>
        </w:rPr>
        <w:t>按《中华人民共和国政府采购法》、《政府采购竞争性磋商采购方式管理暂行办法》及其他有关法律法规的规定执行。</w:t>
      </w:r>
    </w:p>
    <w:p w14:paraId="0ECBFE49">
      <w:pPr>
        <w:tabs>
          <w:tab w:val="left" w:pos="1050"/>
          <w:tab w:val="right" w:leader="dot" w:pos="9402"/>
        </w:tabs>
        <w:snapToGrid w:val="0"/>
        <w:spacing w:beforeLines="100"/>
        <w:jc w:val="center"/>
        <w:outlineLvl w:val="0"/>
        <w:rPr>
          <w:rFonts w:asciiTheme="minorEastAsia" w:hAnsiTheme="minorEastAsia" w:eastAsiaTheme="minorEastAsia" w:cstheme="minorEastAsia"/>
          <w:b/>
          <w:w w:val="80"/>
          <w:sz w:val="24"/>
          <w:szCs w:val="24"/>
        </w:rPr>
      </w:pPr>
      <w:bookmarkStart w:id="44" w:name="_Toc479"/>
      <w:bookmarkStart w:id="45" w:name="_Toc16911_WPSOffice_Level1"/>
      <w:r>
        <w:rPr>
          <w:rFonts w:hint="eastAsia" w:asciiTheme="minorEastAsia" w:hAnsiTheme="minorEastAsia" w:eastAsiaTheme="minorEastAsia" w:cstheme="minorEastAsia"/>
          <w:b/>
          <w:w w:val="80"/>
          <w:sz w:val="24"/>
          <w:szCs w:val="24"/>
        </w:rPr>
        <w:t>第三章  项目需求</w:t>
      </w:r>
      <w:bookmarkEnd w:id="44"/>
      <w:bookmarkEnd w:id="45"/>
    </w:p>
    <w:p w14:paraId="2500B6CF">
      <w:pPr>
        <w:snapToGrid w:val="0"/>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w:t>
      </w:r>
    </w:p>
    <w:p w14:paraId="7B58EDCF">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学校名称：南通师范高等专科学校。</w:t>
      </w:r>
    </w:p>
    <w:p w14:paraId="7368B662">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南通师范高等专科学校位于南通经济技术开发区育贤路2号。本次设计对学校现有学生食堂（一楼、二楼）就餐区及后厨改造设计。</w:t>
      </w:r>
    </w:p>
    <w:p w14:paraId="432635EF">
      <w:pPr>
        <w:snapToGrid w:val="0"/>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二、设计原则</w:t>
      </w:r>
    </w:p>
    <w:p w14:paraId="027CBB99">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本项目规划设计应遵循“适应性”、“经济性”的原则，突出经济、效率，追求优化经济设计。项目的设计过程中应重点考虑如下方面原则。</w:t>
      </w:r>
    </w:p>
    <w:p w14:paraId="7DE66C53">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规范性原则：符合城市规划及国家相关法律法规的规定。</w:t>
      </w:r>
    </w:p>
    <w:p w14:paraId="3E6C7C3E">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协调性原则：设计师应该全面掌握该项目建筑、结构等设计现有情况，处理好美观、实用、装修材料经济、以及与周边建筑协调性的细节。</w:t>
      </w:r>
    </w:p>
    <w:p w14:paraId="29B0A9CB">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济性原则：相关材料应具属于通用型产品以保证项目经济性要求；设计应充分考虑现有施工技术，包括选择易于施工的材料。采用节能环保技术和设计，保证建筑产品长期经济运营，并要在其使用寿命内取得最大的经济效益。</w:t>
      </w:r>
    </w:p>
    <w:p w14:paraId="5367AF8F">
      <w:pPr>
        <w:snapToGrid w:val="0"/>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三、设计内容</w:t>
      </w:r>
    </w:p>
    <w:p w14:paraId="09E85AF2">
      <w:pPr>
        <w:snapToGrid w:val="0"/>
        <w:ind w:firstLine="480"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学生食堂（一楼、二楼）就餐区及后厨改造设计。</w:t>
      </w:r>
    </w:p>
    <w:p w14:paraId="6A488060">
      <w:pPr>
        <w:snapToGrid w:val="0"/>
        <w:ind w:firstLine="482" w:firstLineChars="20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四、设计要求</w:t>
      </w:r>
    </w:p>
    <w:p w14:paraId="2D8584BD">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rPr>
        <w:t>符合国家有关设计技术规范、标准、规程的要求。</w:t>
      </w:r>
    </w:p>
    <w:p w14:paraId="3EF59813">
      <w:pPr>
        <w:snapToGrid w:val="0"/>
        <w:ind w:firstLine="482" w:firstLineChars="200"/>
        <w:jc w:val="left"/>
        <w:rPr>
          <w:rFonts w:asciiTheme="minorEastAsia" w:hAnsiTheme="minorEastAsia" w:eastAsiaTheme="minorEastAsia" w:cstheme="minorEastAsia"/>
          <w:b/>
          <w:bCs/>
          <w:sz w:val="24"/>
          <w:szCs w:val="24"/>
        </w:rPr>
      </w:pPr>
      <w:bookmarkStart w:id="46" w:name="_Toc20081_WPSOffice_Level1"/>
      <w:bookmarkStart w:id="47" w:name="_Toc12619_WPSOffice_Level1"/>
      <w:r>
        <w:rPr>
          <w:rFonts w:hint="eastAsia" w:asciiTheme="minorEastAsia" w:hAnsiTheme="minorEastAsia" w:eastAsiaTheme="minorEastAsia" w:cstheme="minorEastAsia"/>
          <w:b/>
          <w:bCs/>
          <w:sz w:val="24"/>
          <w:szCs w:val="24"/>
        </w:rPr>
        <w:t>五、设计的成果要求</w:t>
      </w:r>
    </w:p>
    <w:p w14:paraId="238BE533">
      <w:pPr>
        <w:snapToGrid w:val="0"/>
        <w:ind w:firstLine="480" w:firstLineChars="200"/>
        <w:jc w:val="left"/>
        <w:rPr>
          <w:rFonts w:asciiTheme="minorEastAsia" w:hAnsiTheme="minorEastAsia" w:eastAsiaTheme="minorEastAsia" w:cstheme="minorEastAsia"/>
          <w:sz w:val="24"/>
          <w:szCs w:val="24"/>
        </w:rPr>
      </w:pPr>
      <w:bookmarkStart w:id="48" w:name="_Toc189275261"/>
      <w:bookmarkStart w:id="49" w:name="_Toc169335428"/>
      <w:bookmarkStart w:id="50" w:name="_Toc170618567"/>
      <w:r>
        <w:rPr>
          <w:rFonts w:hint="eastAsia" w:asciiTheme="minorEastAsia" w:hAnsiTheme="minorEastAsia" w:eastAsiaTheme="minorEastAsia" w:cstheme="minorEastAsia"/>
          <w:sz w:val="24"/>
          <w:szCs w:val="24"/>
        </w:rPr>
        <w:t>1.第一阶段——方案设计</w:t>
      </w:r>
    </w:p>
    <w:p w14:paraId="73CEF12F">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方案阶段提交的设计成果： A3彩色文本2套，电子文档1套，具体内容如下：项目现状分析图、方案设计说明书、方案设计估算。</w:t>
      </w:r>
    </w:p>
    <w:p w14:paraId="5EC5DB72">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2.第二阶段——施工图设计</w:t>
      </w:r>
    </w:p>
    <w:p w14:paraId="57159EAA">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（1）施工图设计内容：</w:t>
      </w:r>
    </w:p>
    <w:p w14:paraId="676C9FEE">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①与业主方共同审阅设计图，并确定施工图设计内容;</w:t>
      </w:r>
    </w:p>
    <w:p w14:paraId="253FBD15">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②与结构工程师协调确定有关荷载之相关问题，并确定结构设计节点做法；</w:t>
      </w:r>
    </w:p>
    <w:p w14:paraId="152783E2">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（2）施工图阶段提交的设计成果：</w:t>
      </w:r>
    </w:p>
    <w:p w14:paraId="060351D5">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正式图纸2套（蓝图）、电子文档1套（注：在正式出图前乙方需提交两套白图交甲方审核，根据意见修改至符合甲方要求并最终确认后，方能出正式蓝图）具体内容如下: </w:t>
      </w:r>
    </w:p>
    <w:p w14:paraId="1D630F95">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①总平面图：用详细尺寸与坐标表明。</w:t>
      </w:r>
    </w:p>
    <w:p w14:paraId="03308296">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②详图（含局部放大平面定位图、立面图、剖面图等）。</w:t>
      </w:r>
    </w:p>
    <w:p w14:paraId="5EDFC93C">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③施工图设计说明书。</w:t>
      </w:r>
    </w:p>
    <w:p w14:paraId="3E3AFBC9">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④负责材料等选型工作。</w:t>
      </w:r>
    </w:p>
    <w:p w14:paraId="326FE74E">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3.第三阶段——施工配合服务</w:t>
      </w:r>
    </w:p>
    <w:p w14:paraId="0A57511A">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（1）乙方应派施工图设计师参加甲方组织的图纸会审，及施工过程中的施工验收，并提供修正报告及建议；</w:t>
      </w:r>
    </w:p>
    <w:p w14:paraId="33094930">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（2）乙方应及时完成项目施工过程中的根据甲方及现场情况工作的设计变更和调整；</w:t>
      </w:r>
    </w:p>
    <w:p w14:paraId="1545569F">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（3）乙方应协助甲方进行材料及设备的选型确认工作；</w:t>
      </w:r>
    </w:p>
    <w:p w14:paraId="585BC749">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（4）乙方应协助甲方解决工程施工中出现的技术性问题。</w:t>
      </w:r>
      <w:bookmarkEnd w:id="48"/>
      <w:bookmarkEnd w:id="49"/>
      <w:bookmarkEnd w:id="50"/>
    </w:p>
    <w:p w14:paraId="386B7838">
      <w:pPr>
        <w:snapToGrid w:val="0"/>
        <w:ind w:firstLine="482" w:firstLineChars="200"/>
        <w:rPr>
          <w:rFonts w:asciiTheme="minorEastAsia" w:hAnsiTheme="minorEastAsia" w:eastAsiaTheme="minorEastAsia" w:cstheme="minorEastAsia"/>
          <w:b/>
          <w:bCs/>
          <w:sz w:val="24"/>
          <w:szCs w:val="24"/>
        </w:rPr>
      </w:pPr>
    </w:p>
    <w:p w14:paraId="2797C35D">
      <w:pPr>
        <w:snapToGrid w:val="0"/>
        <w:ind w:firstLine="482" w:firstLineChars="200"/>
        <w:rPr>
          <w:rFonts w:asciiTheme="minorEastAsia" w:hAnsiTheme="minorEastAsia" w:eastAsiaTheme="minorEastAsia" w:cstheme="minorEastAsia"/>
          <w:b/>
          <w:bCs/>
          <w:sz w:val="24"/>
          <w:szCs w:val="24"/>
        </w:rPr>
      </w:pPr>
    </w:p>
    <w:p w14:paraId="2A0EB821">
      <w:pPr>
        <w:snapToGrid w:val="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《招标技术文件说明》</w:t>
      </w:r>
    </w:p>
    <w:p w14:paraId="1188CC2D">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（必须符合现行国家设计规范及强制性条文要求）</w:t>
      </w:r>
    </w:p>
    <w:p w14:paraId="483A64F0">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一、设计内容及成果深度</w:t>
      </w:r>
    </w:p>
    <w:p w14:paraId="68EC9F9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（一）设计内容</w:t>
      </w:r>
    </w:p>
    <w:p w14:paraId="234080B1">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即本工程项目的方案设计、施工图设计。服务内容包含根据食堂装修改造规划要求确定最终设计方案并提交施工图设计文件；以及与设计相应的后续服务（包括审图回复、设计变更、技术处理、参加各类验收和工程实施期间的现场设计配合等）。</w:t>
      </w:r>
    </w:p>
    <w:p w14:paraId="69DAB897">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（二）方案说明及方案设计要求：</w:t>
      </w:r>
    </w:p>
    <w:p w14:paraId="6844F4F7">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方案说明：</w:t>
      </w:r>
    </w:p>
    <w:p w14:paraId="2B27819D">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（1）设计参考研究</w:t>
      </w:r>
    </w:p>
    <w:p w14:paraId="467C8D37">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（2）设计构思、方案特点</w:t>
      </w:r>
    </w:p>
    <w:p w14:paraId="49888FED">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（3）项目投资估算</w:t>
      </w:r>
    </w:p>
    <w:p w14:paraId="7B67D64A">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（4）功能布局</w:t>
      </w:r>
    </w:p>
    <w:p w14:paraId="545BC82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（5）规划设计方案</w:t>
      </w:r>
    </w:p>
    <w:p w14:paraId="26B397DD">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（6）各项经济技术指标</w:t>
      </w:r>
    </w:p>
    <w:p w14:paraId="4DADBEB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具体内容可包括但不仅限于以上内容</w:t>
      </w:r>
    </w:p>
    <w:p w14:paraId="31DF43E2">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（三）方案设计图纸</w:t>
      </w:r>
    </w:p>
    <w:p w14:paraId="12EC03C0">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设计图纸应绘制在所提供的基础资料及自行勘察的成果之上，图纸上应标注图名、比例尺、图例等。设计图纸表达的内容应与规划设计文本一致。</w:t>
      </w:r>
    </w:p>
    <w:p w14:paraId="2EA53CAA">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（1）改造规划平面图</w:t>
      </w:r>
    </w:p>
    <w:p w14:paraId="1FA569BA">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（2）功能结构分析图</w:t>
      </w:r>
    </w:p>
    <w:p w14:paraId="53BE0202">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（3）效果图：包含鸟瞰图、平面图、细节放大图、立面效果图等。</w:t>
      </w:r>
    </w:p>
    <w:p w14:paraId="40D1E93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（4）各类需要表达设计意向的需要二次设计项目的各专业其他图纸。</w:t>
      </w:r>
    </w:p>
    <w:p w14:paraId="7BF0203E">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（四）关于施工图设计要求</w:t>
      </w:r>
    </w:p>
    <w:p w14:paraId="596FE72F">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1.对本项目施工图设计的一般要求</w:t>
      </w:r>
    </w:p>
    <w:p w14:paraId="79C6DEC8">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（1）设计人必须严格执行国家的相关法律、法规和规范以及业主的有关规定。</w:t>
      </w:r>
    </w:p>
    <w:p w14:paraId="64DE6285">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（2）施工设计不得改变原有的建筑结构和消防设施设备，不得影响原消防设施的功能。</w:t>
      </w:r>
    </w:p>
    <w:p w14:paraId="158E7EAA">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2.对施工图设计的经济性要求</w:t>
      </w:r>
    </w:p>
    <w:p w14:paraId="3F8CE1A7">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（1）本项目设计人应对项目提出可行可信性投资估算，并依此为设计。</w:t>
      </w:r>
    </w:p>
    <w:p w14:paraId="5E173970">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（2）本项目施工图</w:t>
      </w:r>
      <w:bookmarkStart w:id="79" w:name="_GoBack"/>
      <w:bookmarkEnd w:id="79"/>
      <w:r>
        <w:rPr>
          <w:rFonts w:hint="eastAsia" w:asciiTheme="minorEastAsia" w:hAnsiTheme="minorEastAsia" w:eastAsiaTheme="minorEastAsia" w:cstheme="minorEastAsia"/>
          <w:sz w:val="24"/>
          <w:szCs w:val="24"/>
        </w:rPr>
        <w:t>设计人，必须对施工图设计的技术经济指标严格控制。</w:t>
      </w:r>
    </w:p>
    <w:p w14:paraId="61D1F3B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（3）采购人将通过相关机构对施工图设计的经济性进行评估，决定后期项目是否另行委托设计。</w:t>
      </w:r>
    </w:p>
    <w:p w14:paraId="3860699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3.施工图设计的主要内容：</w:t>
      </w:r>
    </w:p>
    <w:p w14:paraId="158747C3">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（1）全项目性文件：设计说明，平面布置及说明，各专业全项目的说明及室外管线图等。</w:t>
      </w:r>
    </w:p>
    <w:p w14:paraId="0D6DAF60">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（2）各需二次设计的设计文件：详本招标文件中招标内容和范围、设计周期的内容，以及公用设施、相关设备工艺设计和设备安装，非标准设备制造详图等。</w:t>
      </w:r>
    </w:p>
    <w:p w14:paraId="6D62721D">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（3）各专业工程计算书、计算机辅助设计软件及资料等：各专业的工程计算书及资料等应经校审、签字后，整理归档，以便提供给施工图审查。</w:t>
      </w:r>
    </w:p>
    <w:p w14:paraId="7ADC9C4F">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4.施工图设计深度要求：</w:t>
      </w:r>
    </w:p>
    <w:p w14:paraId="27747E31">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（1）设计单位提供的设计文件，必须符合国家和主管部门规定的深度及质量标准，特别是《建筑工程设计文件编制深度规定》（2008年版）的规定。</w:t>
      </w:r>
    </w:p>
    <w:p w14:paraId="7EDB6660">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（2）要求施工图设计深度能够并便于：编制施工图预算，安排材料、设备订货和非标准设备的制作，进行施工和安装，进行工程验收。</w:t>
      </w:r>
    </w:p>
    <w:p w14:paraId="2C8A2A9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（3）要求施工图设计深度必须满足施工图审查、报批、报建的要求。</w:t>
      </w:r>
    </w:p>
    <w:p w14:paraId="7DDB5921">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（4）建筑设计说明除满足统一要求外，应将各子项材料做法表、装修做法等汇总统一编写，子项说明根据具体情况单独编写。</w:t>
      </w:r>
    </w:p>
    <w:p w14:paraId="4F55D181">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（5）设计人必须确保：设计标准及主要技术参数合理；能够满足使用功能要求；能够满足建筑防火、安全疏散、环境保护及卫生等方面的要求。</w:t>
      </w:r>
    </w:p>
    <w:p w14:paraId="3B43FD18">
      <w:pPr>
        <w:snapToGrid w:val="0"/>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五、图纸要求</w:t>
      </w:r>
    </w:p>
    <w:p w14:paraId="649F0EE6">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1.图纸目录及每次图纸编号需注明日期（每轮图纸日期应统一），以便新旧图纸查阅、区分。与图纸有关的洽商及设计变更要注明相关图纸的编号及版别。</w:t>
      </w:r>
    </w:p>
    <w:p w14:paraId="095C7AA2">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2.图纸份数</w:t>
      </w:r>
    </w:p>
    <w:p w14:paraId="2457E7E7">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方案设计、施工设计图四份。</w:t>
      </w:r>
    </w:p>
    <w:p w14:paraId="112B7F75">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图纸均要盖有设计院的《工程设计出图专用章》、《注册建筑师专用章》、《注册结构师专用章》。</w:t>
      </w:r>
    </w:p>
    <w:p w14:paraId="3D805474">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对设计的要求主要有如上内容，但不限于此。（具体内容参见合同）。</w:t>
      </w:r>
    </w:p>
    <w:p w14:paraId="36C03965">
      <w:pPr>
        <w:snapToGrid w:val="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六、设计周期要求</w:t>
      </w:r>
    </w:p>
    <w:p w14:paraId="16823743">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自合同签订并生效后的次日起7个日历天内提交施工设计图。</w:t>
      </w:r>
    </w:p>
    <w:p w14:paraId="0382D6D1">
      <w:pPr>
        <w:snapToGrid w:val="0"/>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七、履约保证金</w:t>
      </w:r>
    </w:p>
    <w:p w14:paraId="5A52B384">
      <w:pPr>
        <w:snapToGrid w:val="0"/>
        <w:ind w:firstLine="480" w:firstLineChars="200"/>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1.本项目成交后的履约</w:t>
      </w:r>
      <w:r>
        <w:rPr>
          <w:rFonts w:hint="eastAsia" w:asciiTheme="minorEastAsia" w:hAnsiTheme="minorEastAsia" w:eastAsiaTheme="minorEastAsia" w:cstheme="minorEastAsia"/>
          <w:bCs/>
          <w:sz w:val="24"/>
          <w:szCs w:val="24"/>
        </w:rPr>
        <w:t>保证金</w:t>
      </w:r>
      <w:r>
        <w:rPr>
          <w:rFonts w:hint="eastAsia" w:asciiTheme="minorEastAsia" w:hAnsiTheme="minorEastAsia" w:eastAsiaTheme="minorEastAsia" w:cstheme="minorEastAsia"/>
          <w:bCs/>
          <w:sz w:val="24"/>
          <w:szCs w:val="24"/>
          <w:lang w:val="zh-CN"/>
        </w:rPr>
        <w:t>为</w:t>
      </w:r>
      <w:r>
        <w:rPr>
          <w:rFonts w:hint="eastAsia" w:asciiTheme="minorEastAsia" w:hAnsiTheme="minorEastAsia" w:eastAsiaTheme="minorEastAsia" w:cstheme="minorEastAsia"/>
          <w:b/>
          <w:sz w:val="24"/>
          <w:szCs w:val="24"/>
        </w:rPr>
        <w:t>人民币陆仟元整</w:t>
      </w:r>
      <w:r>
        <w:rPr>
          <w:rFonts w:hint="eastAsia" w:asciiTheme="minorEastAsia" w:hAnsiTheme="minorEastAsia" w:eastAsiaTheme="minorEastAsia" w:cstheme="minorEastAsia"/>
          <w:bCs/>
          <w:sz w:val="24"/>
          <w:szCs w:val="24"/>
          <w:lang w:val="zh-CN"/>
        </w:rPr>
        <w:t>。</w:t>
      </w:r>
    </w:p>
    <w:p w14:paraId="52CEF96F">
      <w:pPr>
        <w:snapToGrid w:val="0"/>
        <w:ind w:firstLine="480" w:firstLineChars="200"/>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2.在成交通知书发出送达后的</w:t>
      </w:r>
      <w:r>
        <w:rPr>
          <w:rFonts w:hint="eastAsia" w:asciiTheme="minorEastAsia" w:hAnsiTheme="minorEastAsia" w:eastAsiaTheme="minorEastAsia" w:cstheme="minorEastAsia"/>
          <w:bCs/>
          <w:sz w:val="24"/>
          <w:szCs w:val="24"/>
        </w:rPr>
        <w:t>5</w:t>
      </w:r>
      <w:r>
        <w:rPr>
          <w:rFonts w:hint="eastAsia" w:asciiTheme="minorEastAsia" w:hAnsiTheme="minorEastAsia" w:eastAsiaTheme="minorEastAsia" w:cstheme="minorEastAsia"/>
          <w:bCs/>
          <w:sz w:val="24"/>
          <w:szCs w:val="24"/>
          <w:lang w:val="zh-CN"/>
        </w:rPr>
        <w:t>日内，成交人凭成交通知书和履约保证金</w:t>
      </w:r>
      <w:r>
        <w:rPr>
          <w:rFonts w:hint="eastAsia" w:asciiTheme="minorEastAsia" w:hAnsiTheme="minorEastAsia" w:eastAsiaTheme="minorEastAsia" w:cstheme="minorEastAsia"/>
          <w:bCs/>
          <w:sz w:val="24"/>
          <w:szCs w:val="24"/>
        </w:rPr>
        <w:t>缴纳</w:t>
      </w:r>
      <w:r>
        <w:rPr>
          <w:rFonts w:hint="eastAsia" w:asciiTheme="minorEastAsia" w:hAnsiTheme="minorEastAsia" w:eastAsiaTheme="minorEastAsia" w:cstheme="minorEastAsia"/>
          <w:bCs/>
          <w:sz w:val="24"/>
          <w:szCs w:val="24"/>
          <w:lang w:val="zh-CN"/>
        </w:rPr>
        <w:t>凭证，与采购人签订合同，超期或未有协商，则视为自动放弃成交资格。</w:t>
      </w:r>
    </w:p>
    <w:p w14:paraId="47B55B9D">
      <w:pPr>
        <w:snapToGrid w:val="0"/>
        <w:ind w:firstLine="480" w:firstLineChars="200"/>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3.成交人在按要求保质保量地完成项目且通过</w:t>
      </w:r>
      <w:r>
        <w:rPr>
          <w:rFonts w:hint="eastAsia" w:asciiTheme="minorEastAsia" w:hAnsiTheme="minorEastAsia" w:eastAsiaTheme="minorEastAsia" w:cstheme="minorEastAsia"/>
          <w:bCs/>
          <w:sz w:val="24"/>
          <w:szCs w:val="24"/>
        </w:rPr>
        <w:t>采购人认可</w:t>
      </w:r>
      <w:r>
        <w:rPr>
          <w:rFonts w:hint="eastAsia" w:asciiTheme="minorEastAsia" w:hAnsiTheme="minorEastAsia" w:eastAsiaTheme="minorEastAsia" w:cstheme="minorEastAsia"/>
          <w:bCs/>
          <w:sz w:val="24"/>
          <w:szCs w:val="24"/>
          <w:lang w:val="zh-CN"/>
        </w:rPr>
        <w:t>后，一次性无息退还履约保证金。</w:t>
      </w:r>
    </w:p>
    <w:p w14:paraId="5468752D">
      <w:pPr>
        <w:snapToGrid w:val="0"/>
        <w:ind w:firstLine="480" w:firstLineChars="200"/>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val="zh-CN"/>
        </w:rPr>
        <w:t>4.由于成交人原因，在签订合同后出现不按合同履行的情况，采购人有权将履约保证金作为违约金，全额不予退还，同时采购人亦有权终止合同，成交人还须依法承担相应的赔偿责任。</w:t>
      </w:r>
    </w:p>
    <w:p w14:paraId="6AE98318">
      <w:pPr>
        <w:snapToGrid w:val="0"/>
        <w:ind w:firstLine="496" w:firstLineChars="206"/>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八、付款方式</w:t>
      </w:r>
    </w:p>
    <w:p w14:paraId="47CC918A">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【特别提醒】付款方式不接受负偏离及任何意图改变付款方式的意图表达，否则作无效投标处理。</w:t>
      </w:r>
    </w:p>
    <w:p w14:paraId="5971AA66">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1.所有设计范围任务按采购人要求完成且经采购人认可后，采购人支付合同价款的80%；余款待工程竣工验收后10个工作日内，甲方付至总设计费的100%。</w:t>
      </w:r>
    </w:p>
    <w:p w14:paraId="1530AD51">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2.最终以双方签订的政府采购合同内确定的方式为准。</w:t>
      </w:r>
    </w:p>
    <w:p w14:paraId="1A474479">
      <w:pPr>
        <w:snapToGrid w:val="0"/>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九、项目结算方式</w:t>
      </w:r>
    </w:p>
    <w:p w14:paraId="5556C058">
      <w:pPr>
        <w:snapToGrid w:val="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成交供应商应提供相应金额的发票，否则采购人有权顺延付款且不构成违约，由此造成的一切后果由成交供应商自行承担。</w:t>
      </w:r>
    </w:p>
    <w:p w14:paraId="507A0D6F">
      <w:pPr>
        <w:pStyle w:val="2"/>
        <w:ind w:firstLine="420"/>
        <w:rPr>
          <w:rFonts w:hint="eastAsia"/>
        </w:rPr>
      </w:pPr>
    </w:p>
    <w:p w14:paraId="7273C744">
      <w:pPr>
        <w:pStyle w:val="2"/>
        <w:ind w:firstLine="420"/>
        <w:rPr>
          <w:rFonts w:hint="eastAsia"/>
        </w:rPr>
      </w:pPr>
    </w:p>
    <w:p w14:paraId="35091CBF">
      <w:pPr>
        <w:pStyle w:val="2"/>
        <w:ind w:firstLine="420"/>
        <w:rPr>
          <w:rFonts w:hint="eastAsia"/>
        </w:rPr>
      </w:pPr>
    </w:p>
    <w:p w14:paraId="45C00692">
      <w:pPr>
        <w:pStyle w:val="2"/>
        <w:ind w:firstLine="420"/>
        <w:rPr>
          <w:rFonts w:hint="eastAsia"/>
        </w:rPr>
      </w:pPr>
    </w:p>
    <w:p w14:paraId="7BA709AB">
      <w:pPr>
        <w:pStyle w:val="2"/>
        <w:ind w:firstLine="420"/>
      </w:pPr>
    </w:p>
    <w:p w14:paraId="1CE68436">
      <w:pPr>
        <w:pStyle w:val="32"/>
        <w:snapToGrid w:val="0"/>
        <w:spacing w:line="240" w:lineRule="auto"/>
        <w:ind w:firstLine="0"/>
        <w:jc w:val="center"/>
        <w:rPr>
          <w:rFonts w:ascii="方正小标宋简体" w:eastAsia="方正小标宋简体"/>
          <w:bCs/>
        </w:rPr>
      </w:pPr>
      <w:r>
        <w:rPr>
          <w:rFonts w:hint="eastAsia" w:ascii="方正小标宋简体" w:eastAsia="方正小标宋简体"/>
          <w:bCs/>
        </w:rPr>
        <w:t>第四章 合同范本</w:t>
      </w:r>
    </w:p>
    <w:p w14:paraId="3F3D1FB4">
      <w:pPr>
        <w:widowControl/>
        <w:snapToGrid w:val="0"/>
        <w:spacing w:before="19"/>
        <w:jc w:val="center"/>
        <w:rPr>
          <w:rFonts w:ascii="方正小标宋简体" w:eastAsia="方正小标宋简体"/>
          <w:sz w:val="24"/>
          <w:szCs w:val="24"/>
        </w:rPr>
      </w:pPr>
      <w:r>
        <w:rPr>
          <w:rFonts w:hint="eastAsia" w:ascii="方正小标宋简体" w:eastAsia="方正小标宋简体"/>
          <w:sz w:val="24"/>
          <w:szCs w:val="24"/>
        </w:rPr>
        <w:t>南通师范高等专科学校采购合同</w:t>
      </w:r>
    </w:p>
    <w:p w14:paraId="4EC2D6AB">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项目名称：</w:t>
      </w:r>
      <w:r>
        <w:rPr>
          <w:rFonts w:hint="eastAsia" w:ascii="仿宋_GB2312" w:hAnsi="宋体" w:eastAsia="仿宋_GB2312"/>
          <w:sz w:val="24"/>
          <w:szCs w:val="24"/>
          <w:u w:val="single"/>
        </w:rPr>
        <w:t xml:space="preserve">                                   </w:t>
      </w:r>
    </w:p>
    <w:p w14:paraId="41A2FCA7">
      <w:pPr>
        <w:snapToGrid w:val="0"/>
        <w:ind w:firstLine="480" w:firstLineChars="200"/>
        <w:rPr>
          <w:rFonts w:ascii="仿宋_GB2312" w:hAnsi="宋体" w:eastAsia="仿宋_GB2312"/>
          <w:sz w:val="24"/>
          <w:szCs w:val="24"/>
          <w:u w:val="single"/>
        </w:rPr>
      </w:pPr>
      <w:r>
        <w:rPr>
          <w:rFonts w:hint="eastAsia" w:ascii="仿宋_GB2312" w:hAnsi="宋体" w:eastAsia="仿宋_GB2312"/>
          <w:sz w:val="24"/>
          <w:szCs w:val="24"/>
        </w:rPr>
        <w:t>计划编号：</w:t>
      </w:r>
      <w:r>
        <w:rPr>
          <w:rFonts w:hint="eastAsia" w:ascii="仿宋_GB2312" w:hAnsi="宋体" w:eastAsia="仿宋_GB2312"/>
          <w:sz w:val="24"/>
          <w:szCs w:val="24"/>
          <w:u w:val="single"/>
        </w:rPr>
        <w:t xml:space="preserve">                                   </w:t>
      </w:r>
    </w:p>
    <w:p w14:paraId="7C1B2AF2">
      <w:pPr>
        <w:snapToGrid w:val="0"/>
        <w:ind w:firstLine="480" w:firstLineChars="200"/>
        <w:rPr>
          <w:rFonts w:ascii="仿宋_GB2312" w:hAnsi="宋体" w:eastAsia="仿宋_GB2312"/>
          <w:sz w:val="24"/>
          <w:szCs w:val="24"/>
          <w:u w:val="single"/>
        </w:rPr>
      </w:pPr>
      <w:r>
        <w:rPr>
          <w:rFonts w:hint="eastAsia" w:ascii="仿宋_GB2312" w:hAnsi="宋体" w:eastAsia="仿宋_GB2312"/>
          <w:sz w:val="24"/>
          <w:szCs w:val="24"/>
        </w:rPr>
        <w:t>甲  方：</w:t>
      </w:r>
      <w:r>
        <w:rPr>
          <w:rFonts w:hint="eastAsia" w:ascii="仿宋_GB2312" w:hAnsi="宋体" w:eastAsia="仿宋_GB2312"/>
          <w:sz w:val="24"/>
          <w:szCs w:val="24"/>
          <w:u w:val="single"/>
        </w:rPr>
        <w:t xml:space="preserve">                                       </w:t>
      </w:r>
    </w:p>
    <w:p w14:paraId="7F5459C3">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乙  方：</w:t>
      </w:r>
      <w:r>
        <w:rPr>
          <w:rFonts w:hint="eastAsia" w:ascii="仿宋_GB2312" w:hAnsi="宋体" w:eastAsia="仿宋_GB2312"/>
          <w:sz w:val="24"/>
          <w:szCs w:val="24"/>
          <w:u w:val="single"/>
        </w:rPr>
        <w:t xml:space="preserve">                                       </w:t>
      </w:r>
    </w:p>
    <w:p w14:paraId="0E87F97C">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见证方：</w:t>
      </w:r>
      <w:r>
        <w:rPr>
          <w:rFonts w:hint="eastAsia" w:ascii="仿宋_GB2312" w:hAnsi="宋体" w:eastAsia="仿宋_GB2312"/>
          <w:sz w:val="24"/>
          <w:szCs w:val="24"/>
          <w:u w:val="single"/>
        </w:rPr>
        <w:t xml:space="preserve">                                       </w:t>
      </w:r>
    </w:p>
    <w:p w14:paraId="39C8CA0F">
      <w:pPr>
        <w:snapToGrid w:val="0"/>
        <w:jc w:val="center"/>
        <w:rPr>
          <w:rFonts w:hint="eastAsia" w:ascii="仿宋_GB2312" w:hAnsi="宋体" w:eastAsia="仿宋_GB2312"/>
          <w:sz w:val="24"/>
          <w:szCs w:val="24"/>
        </w:rPr>
      </w:pPr>
      <w:r>
        <w:rPr>
          <w:rFonts w:hint="eastAsia" w:ascii="仿宋_GB2312" w:hAnsi="宋体" w:eastAsia="仿宋_GB2312"/>
          <w:sz w:val="24"/>
          <w:szCs w:val="24"/>
        </w:rPr>
        <w:t>签订时间：      年    月    日</w:t>
      </w:r>
    </w:p>
    <w:p w14:paraId="2BA0385E">
      <w:pPr>
        <w:pStyle w:val="2"/>
        <w:ind w:firstLine="420"/>
      </w:pPr>
    </w:p>
    <w:p w14:paraId="637750FC">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（甲方）（××项目）委托（代理机构名称，如有）进行了政府采购。按照评委会评审推荐、甲方确定乙方为成交单位。现甲乙双方协商同意签订本合同。</w:t>
      </w:r>
    </w:p>
    <w:p w14:paraId="25A1C48E">
      <w:pPr>
        <w:numPr>
          <w:ilvl w:val="0"/>
          <w:numId w:val="2"/>
        </w:numPr>
        <w:tabs>
          <w:tab w:val="left" w:pos="0"/>
          <w:tab w:val="clear" w:pos="720"/>
        </w:tabs>
        <w:snapToGrid w:val="0"/>
        <w:ind w:left="0" w:firstLine="482" w:firstLineChars="200"/>
        <w:rPr>
          <w:rFonts w:ascii="仿宋_GB2312" w:hAnsi="宋体" w:eastAsia="仿宋_GB2312"/>
          <w:b/>
          <w:sz w:val="24"/>
          <w:szCs w:val="24"/>
        </w:rPr>
      </w:pPr>
      <w:r>
        <w:rPr>
          <w:rFonts w:hint="eastAsia" w:ascii="仿宋_GB2312" w:hAnsi="宋体" w:eastAsia="仿宋_GB2312"/>
          <w:b/>
          <w:sz w:val="24"/>
          <w:szCs w:val="24"/>
        </w:rPr>
        <w:t xml:space="preserve"> 合同文件</w:t>
      </w:r>
    </w:p>
    <w:p w14:paraId="194CB77B">
      <w:pPr>
        <w:snapToGrid w:val="0"/>
        <w:ind w:firstLine="480" w:firstLineChars="200"/>
        <w:rPr>
          <w:rFonts w:ascii="仿宋_GB2312" w:hAnsi="宋体" w:eastAsia="仿宋_GB2312"/>
          <w:sz w:val="24"/>
          <w:szCs w:val="24"/>
        </w:rPr>
      </w:pPr>
      <w:r>
        <w:rPr>
          <w:rFonts w:ascii="仿宋_GB2312" w:hAnsi="宋体" w:eastAsia="仿宋_GB2312"/>
          <w:sz w:val="24"/>
          <w:szCs w:val="24"/>
        </w:rPr>
        <w:t>下列与本次采购活动</w:t>
      </w:r>
      <w:r>
        <w:rPr>
          <w:rFonts w:hint="eastAsia" w:ascii="仿宋_GB2312" w:hAnsi="宋体" w:eastAsia="仿宋_GB2312"/>
          <w:sz w:val="24"/>
          <w:szCs w:val="24"/>
        </w:rPr>
        <w:t>有关</w:t>
      </w:r>
      <w:r>
        <w:rPr>
          <w:rFonts w:ascii="仿宋_GB2312" w:hAnsi="宋体" w:eastAsia="仿宋_GB2312"/>
          <w:sz w:val="24"/>
          <w:szCs w:val="24"/>
        </w:rPr>
        <w:t>的文件及附件是本合同不可分割的组成部分，与本合同具有同等法律效力，这些文件包括但不限于：</w:t>
      </w:r>
    </w:p>
    <w:p w14:paraId="7D0AC62A">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1.（××号）采购文件；</w:t>
      </w:r>
    </w:p>
    <w:p w14:paraId="1036A078">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2.竞争性磋商响应文件；</w:t>
      </w:r>
    </w:p>
    <w:p w14:paraId="71C15678">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3.乙方在参加采购活动时的书面承诺；</w:t>
      </w:r>
    </w:p>
    <w:p w14:paraId="48F6336B">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4.（××号）中标（成交）通知书；</w:t>
      </w:r>
    </w:p>
    <w:p w14:paraId="0C265C51">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5.合同补充条款或说明；</w:t>
      </w:r>
    </w:p>
    <w:p w14:paraId="3C070AEA">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6.保密协议或条款；</w:t>
      </w:r>
    </w:p>
    <w:p w14:paraId="6AC779FF">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7.相关附件、图纸及电子版资料。</w:t>
      </w:r>
    </w:p>
    <w:p w14:paraId="501CAAA7">
      <w:pPr>
        <w:snapToGrid w:val="0"/>
        <w:ind w:left="482"/>
        <w:rPr>
          <w:rFonts w:ascii="仿宋_GB2312" w:hAnsi="宋体" w:eastAsia="仿宋_GB2312"/>
          <w:b/>
          <w:sz w:val="24"/>
          <w:szCs w:val="24"/>
        </w:rPr>
      </w:pPr>
      <w:r>
        <w:rPr>
          <w:rFonts w:hint="eastAsia" w:ascii="仿宋_GB2312" w:hAnsi="宋体" w:eastAsia="仿宋_GB2312"/>
          <w:b/>
          <w:sz w:val="24"/>
          <w:szCs w:val="24"/>
        </w:rPr>
        <w:t>第二条  合同内容</w:t>
      </w:r>
    </w:p>
    <w:p w14:paraId="4BE98C8B">
      <w:pPr>
        <w:snapToGrid w:val="0"/>
        <w:ind w:left="482"/>
        <w:rPr>
          <w:rFonts w:hint="eastAsia" w:ascii="仿宋_GB2312" w:hAnsi="宋体" w:eastAsia="仿宋_GB2312"/>
          <w:b/>
          <w:sz w:val="24"/>
          <w:szCs w:val="24"/>
        </w:rPr>
      </w:pPr>
    </w:p>
    <w:p w14:paraId="206AB8BE">
      <w:pPr>
        <w:snapToGrid w:val="0"/>
        <w:ind w:left="482"/>
        <w:rPr>
          <w:rFonts w:ascii="仿宋_GB2312" w:hAnsi="宋体" w:eastAsia="仿宋_GB2312"/>
          <w:b/>
          <w:sz w:val="24"/>
          <w:szCs w:val="24"/>
        </w:rPr>
      </w:pPr>
      <w:r>
        <w:rPr>
          <w:rFonts w:hint="eastAsia" w:ascii="仿宋_GB2312" w:hAnsi="宋体" w:eastAsia="仿宋_GB2312"/>
          <w:b/>
          <w:sz w:val="24"/>
          <w:szCs w:val="24"/>
        </w:rPr>
        <w:t>第三条  合同总金额</w:t>
      </w:r>
    </w:p>
    <w:p w14:paraId="731F5FAD">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本合同服务总金额：￥</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w:t>
      </w:r>
    </w:p>
    <w:p w14:paraId="1FD05596">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大写：</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w:t>
      </w:r>
    </w:p>
    <w:p w14:paraId="0EAD78C7">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分项价款在《服务一览表》中有明确规定。</w:t>
      </w:r>
    </w:p>
    <w:p w14:paraId="7DD64B9F">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本合同总价款包括服务期间必须的日常易耗品、工具、调试费、培训费等相关费用。</w:t>
      </w:r>
    </w:p>
    <w:p w14:paraId="0ABF010F">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本合同执行期内因工作量变化而引起的服务费用的变动，在双方事先协商一致的前提下签订补充合同，但因此而增加的服务费用不得超过原中标金额的10%。</w:t>
      </w:r>
    </w:p>
    <w:p w14:paraId="3ECB5A6E">
      <w:pPr>
        <w:snapToGrid w:val="0"/>
        <w:ind w:left="482"/>
        <w:rPr>
          <w:rFonts w:ascii="仿宋_GB2312" w:hAnsi="宋体" w:eastAsia="仿宋_GB2312"/>
          <w:b/>
          <w:sz w:val="24"/>
          <w:szCs w:val="24"/>
        </w:rPr>
      </w:pPr>
      <w:r>
        <w:rPr>
          <w:rFonts w:hint="eastAsia" w:ascii="仿宋_GB2312" w:hAnsi="宋体" w:eastAsia="仿宋_GB2312"/>
          <w:b/>
          <w:sz w:val="24"/>
          <w:szCs w:val="24"/>
        </w:rPr>
        <w:t>第四条  权利义务和质量保证</w:t>
      </w:r>
    </w:p>
    <w:p w14:paraId="1838EC64">
      <w:pPr>
        <w:pStyle w:val="7"/>
        <w:tabs>
          <w:tab w:val="left" w:pos="0"/>
        </w:tabs>
        <w:snapToGrid w:val="0"/>
        <w:ind w:firstLine="480" w:firstLineChars="200"/>
        <w:rPr>
          <w:rFonts w:hAnsi="宋体"/>
          <w:sz w:val="24"/>
          <w:szCs w:val="24"/>
        </w:rPr>
      </w:pPr>
      <w:r>
        <w:rPr>
          <w:rFonts w:hint="eastAsia" w:ascii="仿宋_GB2312" w:hAnsi="宋体" w:eastAsia="仿宋_GB2312"/>
          <w:sz w:val="24"/>
          <w:szCs w:val="24"/>
        </w:rPr>
        <w:t>1.甲方保证服务期间，对乙方工作给予支持，提供水、电、场地等必须的基础工作条件。如乙方有需要，还要提供履行合同所必需的有关图纸、数据、资料等。没有甲方事先同意，乙方不得将甲方资料提供给与履行本合同无关的任何其他人。即使向履行本合同有关的人员提供，也应注意保密并限于履行合同的必需范围内。</w:t>
      </w:r>
    </w:p>
    <w:p w14:paraId="2E53F61F">
      <w:pPr>
        <w:pStyle w:val="7"/>
        <w:snapToGrid w:val="0"/>
        <w:ind w:firstLine="480" w:firstLineChars="200"/>
        <w:rPr>
          <w:rFonts w:ascii="仿宋_GB2312" w:hAnsi="宋体" w:eastAsia="仿宋_GB2312"/>
          <w:sz w:val="24"/>
          <w:szCs w:val="24"/>
        </w:rPr>
      </w:pPr>
      <w:r>
        <w:rPr>
          <w:rFonts w:hint="eastAsia" w:ascii="仿宋_GB2312" w:hAnsi="宋体" w:eastAsia="仿宋_GB2312"/>
          <w:sz w:val="24"/>
          <w:szCs w:val="24"/>
        </w:rPr>
        <w:t>2.乙方保证所提供的服务或其任何一部分均不会侵犯任何第三方的专利权、商标权或著作权。</w:t>
      </w:r>
      <w:r>
        <w:rPr>
          <w:rFonts w:ascii="仿宋_GB2312" w:hAnsi="宋体" w:eastAsia="仿宋_GB2312"/>
          <w:sz w:val="24"/>
          <w:szCs w:val="24"/>
        </w:rPr>
        <w:t>一旦出现侵权，</w:t>
      </w:r>
      <w:r>
        <w:rPr>
          <w:rFonts w:hint="eastAsia" w:ascii="仿宋_GB2312" w:hAnsi="宋体" w:eastAsia="仿宋_GB2312"/>
          <w:sz w:val="24"/>
          <w:szCs w:val="24"/>
        </w:rPr>
        <w:t>索赔或诉讼</w:t>
      </w:r>
      <w:r>
        <w:rPr>
          <w:rFonts w:ascii="仿宋_GB2312" w:hAnsi="宋体" w:eastAsia="仿宋_GB2312"/>
          <w:sz w:val="24"/>
          <w:szCs w:val="24"/>
        </w:rPr>
        <w:t>，乙方应承担全部责任。</w:t>
      </w:r>
      <w:r>
        <w:rPr>
          <w:rFonts w:hint="eastAsia" w:ascii="仿宋_GB2312" w:hAnsi="宋体" w:eastAsia="仿宋_GB2312"/>
          <w:sz w:val="24"/>
          <w:szCs w:val="24"/>
        </w:rPr>
        <w:t>乙方保证服务不存在危及人身及财产安全的隐患，不存在违反国家法规、法令、法律以及行业规范所要求的有关安全条款，否则应承担全部法律责任。</w:t>
      </w:r>
    </w:p>
    <w:p w14:paraId="3D22FABA">
      <w:pPr>
        <w:snapToGrid w:val="0"/>
        <w:ind w:left="482"/>
        <w:rPr>
          <w:rFonts w:ascii="仿宋_GB2312" w:hAnsi="宋体" w:eastAsia="仿宋_GB2312"/>
          <w:b/>
          <w:sz w:val="24"/>
          <w:szCs w:val="24"/>
        </w:rPr>
      </w:pPr>
      <w:r>
        <w:rPr>
          <w:rFonts w:hint="eastAsia" w:ascii="仿宋_GB2312" w:hAnsi="宋体" w:eastAsia="仿宋_GB2312"/>
          <w:b/>
          <w:sz w:val="24"/>
          <w:szCs w:val="24"/>
        </w:rPr>
        <w:t>第五条  付款方式</w:t>
      </w:r>
    </w:p>
    <w:p w14:paraId="2E287099">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1.本合同项下所有款项均以人民币支付。</w:t>
      </w:r>
    </w:p>
    <w:p w14:paraId="173109F5">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2.乙方向甲方提交下列文件材料，经甲方审核无误后支付采购资金：</w:t>
      </w:r>
    </w:p>
    <w:p w14:paraId="49B09733">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（1）经甲方确认的发票；</w:t>
      </w:r>
    </w:p>
    <w:p w14:paraId="15D5E8C3">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（2）经甲乙双方确认签订的《验收报告》（或按项目进度阶段性《验收报告》）；</w:t>
      </w:r>
    </w:p>
    <w:p w14:paraId="4E50F705">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（3）其他材料。</w:t>
      </w:r>
    </w:p>
    <w:p w14:paraId="079949A6">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3.款项的支付进度以招标采购文件的有关规定为准。如招标采购文件未作特别规定，则付款进度应符合如下约定：</w:t>
      </w:r>
    </w:p>
    <w:p w14:paraId="7C129DD5">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第一次验收合格后支付至合同总价的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％，第二次验收合格后支付至合同的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％，第</w:t>
      </w:r>
      <w:r>
        <w:rPr>
          <w:rFonts w:hint="eastAsia" w:ascii="仿宋_GB2312" w:hAnsi="宋体" w:eastAsia="仿宋_GB2312"/>
          <w:sz w:val="24"/>
          <w:szCs w:val="24"/>
          <w:u w:val="single"/>
        </w:rPr>
        <w:t xml:space="preserve">    </w:t>
      </w:r>
      <w:r>
        <w:rPr>
          <w:rFonts w:hint="eastAsia" w:ascii="仿宋_GB2312" w:hAnsi="宋体" w:eastAsia="仿宋_GB2312"/>
          <w:sz w:val="24"/>
          <w:szCs w:val="24"/>
        </w:rPr>
        <w:t>次验收合格后支付至合同总价的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％，余款</w:t>
      </w:r>
      <w:r>
        <w:rPr>
          <w:rFonts w:hint="eastAsia" w:ascii="仿宋_GB2312" w:hAnsi="宋体" w:eastAsia="仿宋_GB2312"/>
          <w:sz w:val="24"/>
          <w:szCs w:val="24"/>
          <w:u w:val="single"/>
        </w:rPr>
        <w:t xml:space="preserve">     </w:t>
      </w:r>
      <w:r>
        <w:rPr>
          <w:rFonts w:hint="eastAsia" w:ascii="仿宋_GB2312" w:hAnsi="宋体" w:eastAsia="仿宋_GB2312"/>
          <w:sz w:val="24"/>
          <w:szCs w:val="24"/>
        </w:rPr>
        <w:t>％作为质量保证金于服务运行满</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月后，并经甲乙双方复验合格后的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个工作日内付清。</w:t>
      </w:r>
    </w:p>
    <w:p w14:paraId="311D76EA">
      <w:pPr>
        <w:snapToGrid w:val="0"/>
        <w:ind w:left="482"/>
        <w:rPr>
          <w:rFonts w:ascii="仿宋_GB2312" w:hAnsi="宋体" w:eastAsia="仿宋_GB2312"/>
          <w:b/>
          <w:sz w:val="24"/>
          <w:szCs w:val="24"/>
        </w:rPr>
      </w:pPr>
      <w:r>
        <w:rPr>
          <w:rFonts w:hint="eastAsia" w:ascii="仿宋_GB2312" w:hAnsi="宋体" w:eastAsia="仿宋_GB2312"/>
          <w:b/>
          <w:sz w:val="24"/>
          <w:szCs w:val="24"/>
        </w:rPr>
        <w:t>第六条  履约保证金</w:t>
      </w:r>
    </w:p>
    <w:p w14:paraId="2581FE9C">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1.乙方在签订本合同之日，向甲方提交合同履约保证金</w:t>
      </w:r>
      <w:r>
        <w:rPr>
          <w:rFonts w:hint="eastAsia" w:ascii="仿宋_GB2312" w:hAnsi="宋体" w:eastAsia="仿宋_GB2312"/>
          <w:sz w:val="24"/>
          <w:szCs w:val="24"/>
          <w:u w:val="single"/>
        </w:rPr>
        <w:t xml:space="preserve">                </w:t>
      </w:r>
      <w:r>
        <w:rPr>
          <w:rFonts w:hint="eastAsia" w:ascii="仿宋_GB2312" w:hAnsi="宋体" w:eastAsia="仿宋_GB2312"/>
          <w:sz w:val="24"/>
          <w:szCs w:val="24"/>
        </w:rPr>
        <w:t>元（履约保证金的数额不得超过政府采购合同金额的10%）。</w:t>
      </w:r>
    </w:p>
    <w:p w14:paraId="46CEDAA3">
      <w:pPr>
        <w:snapToGrid w:val="0"/>
        <w:ind w:firstLine="480" w:firstLineChars="200"/>
        <w:rPr>
          <w:rFonts w:ascii="仿宋_GB2312" w:hAnsi="宋体" w:eastAsia="仿宋_GB2312"/>
          <w:strike/>
          <w:sz w:val="24"/>
          <w:szCs w:val="24"/>
        </w:rPr>
      </w:pPr>
      <w:r>
        <w:rPr>
          <w:rFonts w:hint="eastAsia" w:ascii="仿宋_GB2312" w:hAnsi="宋体" w:eastAsia="仿宋_GB2312"/>
          <w:sz w:val="24"/>
          <w:szCs w:val="24"/>
        </w:rPr>
        <w:t>2.履约保证金有效期为甲乙双方最终验收后1个月内。到期后，甲方向乙方无息退还。</w:t>
      </w:r>
    </w:p>
    <w:p w14:paraId="3C09C3EB">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 xml:space="preserve">3.如乙方未能履行、或未能完全履行合同规定的义务，甲方有权从履约保证金中取得补偿。履约保证金扣除甲方应得的补偿后的余额在合同期满后 </w:t>
      </w:r>
      <w:r>
        <w:rPr>
          <w:rFonts w:hint="eastAsia" w:ascii="仿宋_GB2312" w:hAnsi="宋体" w:eastAsia="仿宋_GB2312"/>
          <w:sz w:val="24"/>
          <w:szCs w:val="24"/>
          <w:u w:val="single"/>
        </w:rPr>
        <w:t xml:space="preserve">     </w:t>
      </w:r>
      <w:r>
        <w:rPr>
          <w:rFonts w:hint="eastAsia" w:ascii="仿宋_GB2312" w:hAnsi="宋体" w:eastAsia="仿宋_GB2312"/>
          <w:sz w:val="24"/>
          <w:szCs w:val="24"/>
        </w:rPr>
        <w:t>天内无息退还乙方。</w:t>
      </w:r>
    </w:p>
    <w:p w14:paraId="067F7F03">
      <w:pPr>
        <w:snapToGrid w:val="0"/>
        <w:ind w:left="482"/>
        <w:rPr>
          <w:rFonts w:ascii="仿宋_GB2312" w:hAnsi="宋体" w:eastAsia="仿宋_GB2312"/>
          <w:b/>
          <w:sz w:val="24"/>
          <w:szCs w:val="24"/>
        </w:rPr>
      </w:pPr>
      <w:r>
        <w:rPr>
          <w:rFonts w:hint="eastAsia" w:ascii="仿宋_GB2312" w:hAnsi="宋体" w:eastAsia="仿宋_GB2312"/>
          <w:b/>
          <w:sz w:val="24"/>
          <w:szCs w:val="24"/>
        </w:rPr>
        <w:t>第七条  验收</w:t>
      </w:r>
    </w:p>
    <w:p w14:paraId="45402CC1">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 xml:space="preserve">1.服务期限： </w:t>
      </w:r>
      <w:r>
        <w:rPr>
          <w:rFonts w:hint="eastAsia" w:ascii="仿宋_GB2312" w:hAnsi="宋体" w:eastAsia="仿宋_GB2312"/>
          <w:sz w:val="24"/>
          <w:szCs w:val="24"/>
          <w:u w:val="single"/>
        </w:rPr>
        <w:t xml:space="preserve">                   </w:t>
      </w:r>
      <w:r>
        <w:rPr>
          <w:rFonts w:hint="eastAsia" w:ascii="仿宋_GB2312" w:hAnsi="宋体" w:eastAsia="仿宋_GB2312"/>
          <w:sz w:val="24"/>
          <w:szCs w:val="24"/>
        </w:rPr>
        <w:t xml:space="preserve"> 至 </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201A8CEB">
      <w:pPr>
        <w:snapToGrid w:val="0"/>
        <w:ind w:firstLine="720" w:firstLineChars="300"/>
        <w:rPr>
          <w:rFonts w:ascii="仿宋_GB2312" w:hAnsi="宋体" w:eastAsia="仿宋_GB2312"/>
          <w:sz w:val="24"/>
          <w:szCs w:val="24"/>
        </w:rPr>
      </w:pPr>
      <w:r>
        <w:rPr>
          <w:rFonts w:hint="eastAsia" w:ascii="仿宋_GB2312" w:hAnsi="宋体" w:eastAsia="仿宋_GB2312"/>
          <w:sz w:val="24"/>
          <w:szCs w:val="24"/>
        </w:rPr>
        <w:t xml:space="preserve">服务地点： </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77C10426">
      <w:pPr>
        <w:snapToGrid w:val="0"/>
        <w:ind w:firstLine="720" w:firstLineChars="300"/>
        <w:rPr>
          <w:rFonts w:ascii="仿宋_GB2312" w:hAnsi="宋体" w:eastAsia="仿宋_GB2312"/>
          <w:sz w:val="24"/>
          <w:szCs w:val="24"/>
          <w:u w:val="single"/>
        </w:rPr>
      </w:pPr>
      <w:r>
        <w:rPr>
          <w:rFonts w:hint="eastAsia" w:ascii="仿宋_GB2312" w:hAnsi="宋体" w:eastAsia="仿宋_GB2312"/>
          <w:sz w:val="24"/>
          <w:szCs w:val="24"/>
        </w:rPr>
        <w:t xml:space="preserve">验收时间： </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6B238AA9">
      <w:pPr>
        <w:snapToGrid w:val="0"/>
        <w:ind w:firstLine="720" w:firstLineChars="300"/>
        <w:rPr>
          <w:rFonts w:ascii="仿宋_GB2312" w:hAnsi="宋体" w:eastAsia="仿宋_GB2312"/>
          <w:sz w:val="24"/>
          <w:szCs w:val="24"/>
        </w:rPr>
      </w:pPr>
      <w:r>
        <w:rPr>
          <w:rFonts w:hint="eastAsia" w:ascii="仿宋_GB2312" w:hAnsi="宋体" w:eastAsia="仿宋_GB2312"/>
          <w:sz w:val="24"/>
          <w:szCs w:val="24"/>
        </w:rPr>
        <w:t xml:space="preserve">验收地点： </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4CD0B95E">
      <w:pPr>
        <w:pStyle w:val="7"/>
        <w:tabs>
          <w:tab w:val="left" w:pos="0"/>
        </w:tabs>
        <w:snapToGrid w:val="0"/>
        <w:ind w:firstLine="480" w:firstLineChars="200"/>
        <w:rPr>
          <w:rFonts w:ascii="仿宋_GB2312" w:hAnsi="宋体" w:eastAsia="仿宋_GB2312"/>
          <w:sz w:val="24"/>
          <w:szCs w:val="24"/>
        </w:rPr>
      </w:pPr>
      <w:r>
        <w:rPr>
          <w:rFonts w:hint="eastAsia" w:ascii="仿宋_GB2312" w:hAnsi="宋体" w:eastAsia="仿宋_GB2312"/>
          <w:sz w:val="24"/>
          <w:szCs w:val="24"/>
        </w:rPr>
        <w:t>2. 乙方应对提供的服务成果作出全面自查和整理，并列出清单，作为甲方验收和使用的服务条件依据，清单应随提供的服务成果交给甲方。</w:t>
      </w:r>
    </w:p>
    <w:p w14:paraId="1DA5FF9F">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3.验收时，甲乙双方必须同时在场，</w:t>
      </w:r>
      <w:r>
        <w:rPr>
          <w:rFonts w:ascii="仿宋_GB2312" w:hAnsi="宋体" w:eastAsia="仿宋_GB2312"/>
          <w:sz w:val="24"/>
          <w:szCs w:val="24"/>
        </w:rPr>
        <w:t>乙方所</w:t>
      </w:r>
      <w:r>
        <w:rPr>
          <w:rFonts w:hint="eastAsia" w:ascii="仿宋_GB2312" w:hAnsi="宋体" w:eastAsia="仿宋_GB2312"/>
          <w:sz w:val="24"/>
          <w:szCs w:val="24"/>
        </w:rPr>
        <w:t>提供</w:t>
      </w:r>
      <w:r>
        <w:rPr>
          <w:rFonts w:ascii="仿宋_GB2312" w:hAnsi="宋体" w:eastAsia="仿宋_GB2312"/>
          <w:sz w:val="24"/>
          <w:szCs w:val="24"/>
        </w:rPr>
        <w:t>的</w:t>
      </w:r>
      <w:r>
        <w:rPr>
          <w:rFonts w:hint="eastAsia" w:ascii="仿宋_GB2312" w:hAnsi="宋体" w:eastAsia="仿宋_GB2312"/>
          <w:sz w:val="24"/>
          <w:szCs w:val="24"/>
        </w:rPr>
        <w:t>服务</w:t>
      </w:r>
      <w:r>
        <w:rPr>
          <w:rFonts w:ascii="仿宋_GB2312" w:hAnsi="宋体" w:eastAsia="仿宋_GB2312"/>
          <w:sz w:val="24"/>
          <w:szCs w:val="24"/>
        </w:rPr>
        <w:t>不符合合同</w:t>
      </w:r>
      <w:r>
        <w:rPr>
          <w:rFonts w:hint="eastAsia" w:ascii="仿宋_GB2312" w:hAnsi="宋体" w:eastAsia="仿宋_GB2312"/>
          <w:sz w:val="24"/>
          <w:szCs w:val="24"/>
        </w:rPr>
        <w:t>内容</w:t>
      </w:r>
      <w:r>
        <w:rPr>
          <w:rFonts w:ascii="仿宋_GB2312" w:hAnsi="宋体" w:eastAsia="仿宋_GB2312"/>
          <w:sz w:val="24"/>
          <w:szCs w:val="24"/>
        </w:rPr>
        <w:t>规定的，甲方有权</w:t>
      </w:r>
      <w:r>
        <w:rPr>
          <w:rFonts w:hint="eastAsia" w:ascii="仿宋_GB2312" w:hAnsi="宋体" w:eastAsia="仿宋_GB2312"/>
          <w:sz w:val="24"/>
          <w:szCs w:val="24"/>
        </w:rPr>
        <w:t>拒绝验收。乙方应及时按本合同内容规定和甲方要求免费进行整改，直至验收合格，方视为乙方按本合同规定完成服务</w:t>
      </w:r>
      <w:r>
        <w:rPr>
          <w:rFonts w:ascii="仿宋_GB2312" w:hAnsi="宋体" w:eastAsia="仿宋_GB2312"/>
          <w:sz w:val="24"/>
          <w:szCs w:val="24"/>
        </w:rPr>
        <w:t>。</w:t>
      </w:r>
      <w:r>
        <w:rPr>
          <w:rFonts w:hint="eastAsia" w:ascii="仿宋_GB2312" w:hAnsi="宋体" w:eastAsia="仿宋_GB2312"/>
          <w:sz w:val="24"/>
          <w:szCs w:val="24"/>
        </w:rPr>
        <w:t>验收合格的，填写《履约验收报告》。在经过两次限期整改后，服务仍达不到合同文件规定内容的，甲方有权拒收，并可以解除合同；由此引起甲方损失及赔偿责任由乙方承担。</w:t>
      </w:r>
    </w:p>
    <w:p w14:paraId="2CD6D058">
      <w:pPr>
        <w:snapToGrid w:val="0"/>
        <w:ind w:firstLine="482"/>
        <w:textAlignment w:val="baseline"/>
        <w:rPr>
          <w:rFonts w:ascii="仿宋_GB2312" w:hAnsi="宋体" w:eastAsia="仿宋_GB2312"/>
          <w:sz w:val="24"/>
          <w:szCs w:val="24"/>
        </w:rPr>
      </w:pPr>
      <w:r>
        <w:rPr>
          <w:rFonts w:hint="eastAsia" w:ascii="仿宋_GB2312" w:hAnsi="宋体" w:eastAsia="仿宋_GB2312"/>
          <w:sz w:val="24"/>
          <w:szCs w:val="24"/>
        </w:rPr>
        <w:t>4.甲方可以视项目规模或复杂情况聘请专业人员参与验收，</w:t>
      </w:r>
      <w:r>
        <w:rPr>
          <w:rFonts w:ascii="仿宋_GB2312" w:hAnsi="宋体" w:eastAsia="仿宋_GB2312"/>
          <w:sz w:val="24"/>
          <w:szCs w:val="24"/>
        </w:rPr>
        <w:t>大型或复杂项目</w:t>
      </w:r>
      <w:r>
        <w:rPr>
          <w:rFonts w:hint="eastAsia" w:ascii="仿宋_GB2312" w:hAnsi="宋体" w:eastAsia="仿宋_GB2312"/>
          <w:sz w:val="24"/>
          <w:szCs w:val="24"/>
        </w:rPr>
        <w:t>，以及涉及专业服务内容的应当</w:t>
      </w:r>
      <w:r>
        <w:rPr>
          <w:rFonts w:ascii="仿宋_GB2312" w:hAnsi="宋体" w:eastAsia="仿宋_GB2312"/>
          <w:sz w:val="24"/>
          <w:szCs w:val="24"/>
        </w:rPr>
        <w:t>邀请国家认可的第三方质量检测机构参与验收。</w:t>
      </w:r>
    </w:p>
    <w:p w14:paraId="655A3DE8">
      <w:pPr>
        <w:snapToGrid w:val="0"/>
        <w:ind w:firstLine="482"/>
        <w:textAlignment w:val="baseline"/>
        <w:rPr>
          <w:rFonts w:ascii="仿宋_GB2312" w:hAnsi="宋体" w:eastAsia="仿宋_GB2312"/>
          <w:sz w:val="24"/>
          <w:szCs w:val="24"/>
        </w:rPr>
      </w:pPr>
      <w:r>
        <w:rPr>
          <w:rFonts w:hint="eastAsia" w:ascii="仿宋_GB2312" w:hAnsi="宋体" w:eastAsia="仿宋_GB2312"/>
          <w:sz w:val="24"/>
          <w:szCs w:val="24"/>
        </w:rPr>
        <w:t>5.如项目实施情况需要分阶段验收，则根据实际情况分阶段出具《履约验收报告》。</w:t>
      </w:r>
    </w:p>
    <w:p w14:paraId="7CAEDFE2">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6.如果合同双方对《履约验收报告》有分歧，双方须于出现分歧后</w:t>
      </w:r>
      <w:r>
        <w:rPr>
          <w:rFonts w:hint="eastAsia" w:ascii="仿宋_GB2312" w:hAnsi="宋体" w:eastAsia="仿宋_GB2312"/>
          <w:sz w:val="24"/>
          <w:szCs w:val="24"/>
          <w:u w:val="single"/>
        </w:rPr>
        <w:t xml:space="preserve">    </w:t>
      </w:r>
      <w:r>
        <w:rPr>
          <w:rFonts w:hint="eastAsia" w:ascii="仿宋_GB2312" w:hAnsi="宋体" w:eastAsia="仿宋_GB2312"/>
          <w:sz w:val="24"/>
          <w:szCs w:val="24"/>
        </w:rPr>
        <w:t>天内给对方书面声明，以陈述己方的理由及要求，并附有关证据。分歧应通过协商解决。</w:t>
      </w:r>
    </w:p>
    <w:p w14:paraId="69890484">
      <w:pPr>
        <w:snapToGrid w:val="0"/>
        <w:ind w:left="482"/>
        <w:rPr>
          <w:rFonts w:ascii="仿宋_GB2312" w:hAnsi="宋体" w:eastAsia="仿宋_GB2312"/>
          <w:b/>
          <w:sz w:val="24"/>
          <w:szCs w:val="24"/>
        </w:rPr>
      </w:pPr>
      <w:r>
        <w:rPr>
          <w:rFonts w:hint="eastAsia" w:ascii="仿宋_GB2312" w:hAnsi="宋体" w:eastAsia="仿宋_GB2312"/>
          <w:b/>
          <w:sz w:val="24"/>
          <w:szCs w:val="24"/>
        </w:rPr>
        <w:t>第八条  项目管理服务</w:t>
      </w:r>
    </w:p>
    <w:p w14:paraId="33E5AD6C">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乙方要指定不少于一人全权全程负责本项目服务的落实，包括服务的咨询、执行和后续工作。</w:t>
      </w:r>
    </w:p>
    <w:p w14:paraId="02F149FD">
      <w:pPr>
        <w:snapToGrid w:val="0"/>
        <w:ind w:firstLine="481"/>
        <w:textAlignment w:val="baseline"/>
        <w:rPr>
          <w:sz w:val="24"/>
          <w:szCs w:val="24"/>
        </w:rPr>
      </w:pPr>
      <w:r>
        <w:rPr>
          <w:rFonts w:ascii="仿宋_GB2312" w:eastAsia="仿宋_GB2312"/>
          <w:sz w:val="24"/>
          <w:szCs w:val="24"/>
        </w:rPr>
        <w:t>项目负责人</w:t>
      </w:r>
      <w:r>
        <w:rPr>
          <w:rFonts w:hint="eastAsia" w:ascii="仿宋_GB2312" w:eastAsia="仿宋_GB2312"/>
          <w:sz w:val="24"/>
          <w:szCs w:val="24"/>
        </w:rPr>
        <w:t>姓名</w:t>
      </w:r>
      <w:r>
        <w:rPr>
          <w:rFonts w:ascii="仿宋_GB2312" w:eastAsia="仿宋_GB2312"/>
          <w:sz w:val="24"/>
          <w:szCs w:val="24"/>
        </w:rPr>
        <w:t>：</w:t>
      </w:r>
      <w:r>
        <w:rPr>
          <w:rFonts w:ascii="仿宋_GB2312" w:eastAsia="仿宋_GB2312"/>
          <w:sz w:val="24"/>
          <w:szCs w:val="24"/>
          <w:u w:val="single"/>
        </w:rPr>
        <w:t xml:space="preserve"> </w:t>
      </w:r>
      <w:r>
        <w:rPr>
          <w:rFonts w:ascii="仿宋_GB2312" w:eastAsia="仿宋_GB2312"/>
          <w:sz w:val="24"/>
          <w:szCs w:val="24"/>
          <w:u w:val="single" w:color="000000"/>
        </w:rPr>
        <w:t xml:space="preserve">       </w:t>
      </w:r>
      <w:r>
        <w:rPr>
          <w:rFonts w:ascii="仿宋_GB2312" w:eastAsia="仿宋_GB2312"/>
          <w:sz w:val="24"/>
          <w:szCs w:val="24"/>
        </w:rPr>
        <w:t>； 联系电话：</w:t>
      </w:r>
      <w:r>
        <w:rPr>
          <w:rFonts w:ascii="仿宋_GB2312" w:eastAsia="仿宋_GB2312"/>
          <w:sz w:val="24"/>
          <w:szCs w:val="24"/>
          <w:u w:val="single" w:color="000000"/>
        </w:rPr>
        <w:t xml:space="preserve">                </w:t>
      </w:r>
      <w:r>
        <w:rPr>
          <w:rFonts w:ascii="仿宋_GB2312" w:eastAsia="仿宋_GB2312"/>
          <w:sz w:val="24"/>
          <w:szCs w:val="24"/>
        </w:rPr>
        <w:t>。</w:t>
      </w:r>
    </w:p>
    <w:p w14:paraId="5DE02803">
      <w:pPr>
        <w:snapToGrid w:val="0"/>
        <w:ind w:firstLine="472" w:firstLineChars="196"/>
        <w:rPr>
          <w:rFonts w:ascii="仿宋_GB2312" w:hAnsi="宋体" w:eastAsia="仿宋_GB2312"/>
          <w:b/>
          <w:sz w:val="24"/>
          <w:szCs w:val="24"/>
        </w:rPr>
      </w:pPr>
      <w:r>
        <w:rPr>
          <w:rFonts w:hint="eastAsia" w:ascii="仿宋_GB2312" w:hAnsi="宋体" w:eastAsia="仿宋_GB2312"/>
          <w:b/>
          <w:sz w:val="24"/>
          <w:szCs w:val="24"/>
        </w:rPr>
        <w:t>第九条  售后服务</w:t>
      </w:r>
    </w:p>
    <w:p w14:paraId="761F748B">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1.乙方提供服务的质量保证期为自服务通过最终验收起</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个月。若国家有明确规定的质量保证期高于此质量保证期的，执行国家规定。</w:t>
      </w:r>
    </w:p>
    <w:p w14:paraId="66A35D22">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2.服务期内，乙方应提供相关服务支持。对甲方所反映的任何服务问题在</w:t>
      </w:r>
      <w:r>
        <w:rPr>
          <w:rFonts w:hint="eastAsia" w:ascii="仿宋_GB2312" w:hAnsi="宋体" w:eastAsia="仿宋_GB2312"/>
          <w:sz w:val="24"/>
          <w:szCs w:val="24"/>
          <w:u w:val="single"/>
        </w:rPr>
        <w:t>××</w:t>
      </w:r>
      <w:r>
        <w:rPr>
          <w:rFonts w:hint="eastAsia" w:ascii="仿宋_GB2312" w:hAnsi="宋体" w:eastAsia="仿宋_GB2312"/>
          <w:sz w:val="24"/>
          <w:szCs w:val="24"/>
        </w:rPr>
        <w:t>日（小时）之内做出及时响应，在</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日（小时）之内赶到现场实地解决问题。若问题在</w:t>
      </w:r>
      <w:r>
        <w:rPr>
          <w:rFonts w:hint="eastAsia" w:ascii="仿宋_GB2312" w:hAnsi="宋体" w:eastAsia="仿宋_GB2312"/>
          <w:sz w:val="24"/>
          <w:szCs w:val="24"/>
          <w:u w:val="single"/>
        </w:rPr>
        <w:t xml:space="preserve">    </w:t>
      </w:r>
      <w:r>
        <w:rPr>
          <w:rFonts w:hint="eastAsia" w:ascii="仿宋_GB2312" w:hAnsi="宋体" w:eastAsia="仿宋_GB2312"/>
          <w:sz w:val="24"/>
          <w:szCs w:val="24"/>
        </w:rPr>
        <w:t>工作日（小时）后仍无法解决，乙方应在</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日（小时）内免费提供服务的补偿、替换方案，直至服务恢复正常。</w:t>
      </w:r>
    </w:p>
    <w:p w14:paraId="006A41A1">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3.乙方必须遵守甲方的有关管理制度、操作规程。对于乙方违规操作造成甲方损失的，由乙方按照本合同第十二条的约定承担赔偿责任。</w:t>
      </w:r>
    </w:p>
    <w:p w14:paraId="62B1DFE5">
      <w:pPr>
        <w:snapToGrid w:val="0"/>
        <w:ind w:left="482"/>
        <w:rPr>
          <w:rFonts w:ascii="仿宋_GB2312" w:hAnsi="宋体" w:eastAsia="仿宋_GB2312"/>
          <w:b/>
          <w:sz w:val="24"/>
          <w:szCs w:val="24"/>
        </w:rPr>
      </w:pPr>
      <w:r>
        <w:rPr>
          <w:rFonts w:hint="eastAsia" w:ascii="仿宋_GB2312" w:hAnsi="宋体" w:eastAsia="仿宋_GB2312"/>
          <w:b/>
          <w:sz w:val="24"/>
          <w:szCs w:val="24"/>
        </w:rPr>
        <w:t>第十条  分包</w:t>
      </w:r>
    </w:p>
    <w:p w14:paraId="2D2FA5C7">
      <w:pPr>
        <w:snapToGrid w:val="0"/>
        <w:ind w:firstLine="480" w:firstLineChars="200"/>
        <w:rPr>
          <w:rFonts w:ascii="仿宋_GB2312" w:hAnsi="宋体" w:eastAsia="仿宋_GB2312"/>
          <w:strike/>
          <w:sz w:val="24"/>
          <w:szCs w:val="24"/>
        </w:rPr>
      </w:pPr>
      <w:r>
        <w:rPr>
          <w:rFonts w:hint="eastAsia" w:ascii="仿宋_GB2312" w:hAnsi="宋体" w:eastAsia="仿宋_GB2312"/>
          <w:sz w:val="24"/>
          <w:szCs w:val="24"/>
        </w:rPr>
        <w:t>除采购文件事先说明、且经甲方事先书面同意外，乙方不得分包、转包其应履行的合同义务。</w:t>
      </w:r>
    </w:p>
    <w:p w14:paraId="6BFA33C4">
      <w:pPr>
        <w:snapToGrid w:val="0"/>
        <w:ind w:firstLine="482" w:firstLineChars="200"/>
        <w:rPr>
          <w:rFonts w:ascii="仿宋_GB2312" w:hAnsi="宋体" w:eastAsia="仿宋_GB2312"/>
          <w:b/>
          <w:sz w:val="24"/>
          <w:szCs w:val="24"/>
        </w:rPr>
      </w:pPr>
      <w:r>
        <w:rPr>
          <w:rFonts w:hint="eastAsia" w:ascii="仿宋_GB2312" w:hAnsi="宋体" w:eastAsia="仿宋_GB2312"/>
          <w:b/>
          <w:sz w:val="24"/>
          <w:szCs w:val="24"/>
        </w:rPr>
        <w:t>第十一条  合同的生效</w:t>
      </w:r>
    </w:p>
    <w:p w14:paraId="1DA9C266">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1.本合同经甲乙双方授权代表签字并加盖公章或合同专用章后生效。</w:t>
      </w:r>
    </w:p>
    <w:p w14:paraId="49AEEF52">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2.生效后，除《政府采购法》第49条、第50条第二款规定的情形外，甲乙双方不得擅自变更、中止或终止合同。</w:t>
      </w:r>
    </w:p>
    <w:p w14:paraId="6EA40397">
      <w:pPr>
        <w:snapToGrid w:val="0"/>
        <w:ind w:left="482"/>
        <w:rPr>
          <w:rFonts w:ascii="仿宋_GB2312" w:hAnsi="宋体" w:eastAsia="仿宋_GB2312"/>
          <w:b/>
          <w:sz w:val="24"/>
          <w:szCs w:val="24"/>
        </w:rPr>
      </w:pPr>
      <w:r>
        <w:rPr>
          <w:rFonts w:hint="eastAsia" w:ascii="仿宋_GB2312" w:hAnsi="宋体" w:eastAsia="仿宋_GB2312"/>
          <w:b/>
          <w:sz w:val="24"/>
          <w:szCs w:val="24"/>
        </w:rPr>
        <w:t>第十二条  违约责任</w:t>
      </w:r>
    </w:p>
    <w:p w14:paraId="7C1A10BF">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w:t>
      </w:r>
      <w:r>
        <w:rPr>
          <w:rFonts w:ascii="仿宋_GB2312" w:hAnsi="宋体" w:eastAsia="仿宋_GB2312"/>
          <w:sz w:val="24"/>
          <w:szCs w:val="24"/>
        </w:rPr>
        <w:t>乙方所</w:t>
      </w:r>
      <w:r>
        <w:rPr>
          <w:rFonts w:hint="eastAsia" w:ascii="仿宋_GB2312" w:hAnsi="宋体" w:eastAsia="仿宋_GB2312"/>
          <w:sz w:val="24"/>
          <w:szCs w:val="24"/>
        </w:rPr>
        <w:t>提供</w:t>
      </w:r>
      <w:r>
        <w:rPr>
          <w:rFonts w:ascii="仿宋_GB2312" w:hAnsi="宋体" w:eastAsia="仿宋_GB2312"/>
          <w:sz w:val="24"/>
          <w:szCs w:val="24"/>
        </w:rPr>
        <w:t>的</w:t>
      </w:r>
      <w:r>
        <w:rPr>
          <w:rFonts w:hint="eastAsia" w:ascii="仿宋_GB2312" w:hAnsi="宋体" w:eastAsia="仿宋_GB2312"/>
          <w:sz w:val="24"/>
          <w:szCs w:val="24"/>
        </w:rPr>
        <w:t>服务成果</w:t>
      </w:r>
      <w:r>
        <w:rPr>
          <w:rFonts w:ascii="仿宋_GB2312" w:hAnsi="宋体" w:eastAsia="仿宋_GB2312"/>
          <w:sz w:val="24"/>
          <w:szCs w:val="24"/>
        </w:rPr>
        <w:t>不符合</w:t>
      </w:r>
      <w:r>
        <w:rPr>
          <w:rFonts w:hint="eastAsia" w:ascii="仿宋_GB2312" w:hAnsi="宋体" w:eastAsia="仿宋_GB2312"/>
          <w:sz w:val="24"/>
          <w:szCs w:val="24"/>
        </w:rPr>
        <w:t>本</w:t>
      </w:r>
      <w:r>
        <w:rPr>
          <w:rFonts w:ascii="仿宋_GB2312" w:hAnsi="宋体" w:eastAsia="仿宋_GB2312"/>
          <w:sz w:val="24"/>
          <w:szCs w:val="24"/>
        </w:rPr>
        <w:t>合同规定的，甲方有权拒收</w:t>
      </w:r>
      <w:r>
        <w:rPr>
          <w:rFonts w:hint="eastAsia" w:ascii="仿宋_GB2312" w:hAnsi="宋体" w:eastAsia="仿宋_GB2312"/>
          <w:sz w:val="24"/>
          <w:szCs w:val="24"/>
        </w:rPr>
        <w:t>，乙方在得到甲方通知之日起</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个工作日内采取补救措施，逾期仍未采取有效措施的，甲方有权要求乙方赔偿因此造成的损失或扣留履约保证金；同时乙方应向甲方支付合同总价</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％的违约金。</w:t>
      </w:r>
    </w:p>
    <w:p w14:paraId="1F08CBC2">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 xml:space="preserve">2.甲方无正当理由拒绝接收服务，甲方应向乙方偿付拒付服务费用 </w:t>
      </w:r>
      <w:r>
        <w:rPr>
          <w:rFonts w:hint="eastAsia" w:ascii="仿宋_GB2312" w:hAnsi="宋体" w:eastAsia="仿宋_GB2312"/>
          <w:sz w:val="24"/>
          <w:szCs w:val="24"/>
          <w:u w:val="single"/>
        </w:rPr>
        <w:t xml:space="preserve">    </w:t>
      </w:r>
      <w:r>
        <w:rPr>
          <w:rFonts w:hint="eastAsia" w:ascii="仿宋_GB2312" w:hAnsi="宋体" w:eastAsia="仿宋_GB2312"/>
          <w:sz w:val="24"/>
          <w:szCs w:val="24"/>
        </w:rPr>
        <w:t>％的违约金。</w:t>
      </w:r>
    </w:p>
    <w:p w14:paraId="581EDE86">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乙方</w:t>
      </w:r>
      <w:r>
        <w:rPr>
          <w:rFonts w:ascii="仿宋_GB2312" w:eastAsia="仿宋_GB2312"/>
          <w:sz w:val="24"/>
          <w:szCs w:val="24"/>
        </w:rPr>
        <w:t>无正当理由</w:t>
      </w:r>
      <w:r>
        <w:rPr>
          <w:rFonts w:ascii="仿宋_GB2312" w:hAnsi="宋体" w:eastAsia="仿宋_GB2312"/>
          <w:sz w:val="24"/>
          <w:szCs w:val="24"/>
        </w:rPr>
        <w:t>逾期</w:t>
      </w:r>
      <w:r>
        <w:rPr>
          <w:rFonts w:hint="eastAsia" w:ascii="仿宋_GB2312" w:hAnsi="宋体" w:eastAsia="仿宋_GB2312"/>
          <w:sz w:val="24"/>
          <w:szCs w:val="24"/>
        </w:rPr>
        <w:t>提供服务</w:t>
      </w:r>
      <w:r>
        <w:rPr>
          <w:rFonts w:ascii="仿宋_GB2312" w:hAnsi="宋体" w:eastAsia="仿宋_GB2312"/>
          <w:sz w:val="24"/>
          <w:szCs w:val="24"/>
        </w:rPr>
        <w:t>的，每逾期1天，乙方向甲方偿付</w:t>
      </w:r>
      <w:r>
        <w:rPr>
          <w:rFonts w:hint="eastAsia" w:ascii="仿宋_GB2312" w:hAnsi="宋体" w:eastAsia="仿宋_GB2312"/>
          <w:sz w:val="24"/>
          <w:szCs w:val="24"/>
        </w:rPr>
        <w:t>合同</w:t>
      </w:r>
      <w:r>
        <w:rPr>
          <w:rFonts w:ascii="仿宋_GB2312" w:hAnsi="宋体" w:eastAsia="仿宋_GB2312"/>
          <w:sz w:val="24"/>
          <w:szCs w:val="24"/>
        </w:rPr>
        <w:t>总额的</w:t>
      </w:r>
      <w:r>
        <w:rPr>
          <w:rFonts w:hint="eastAsia" w:ascii="仿宋_GB2312" w:hAnsi="宋体" w:eastAsia="仿宋_GB2312"/>
          <w:sz w:val="24"/>
          <w:szCs w:val="24"/>
          <w:u w:val="single"/>
        </w:rPr>
        <w:t xml:space="preserve">    </w:t>
      </w:r>
      <w:r>
        <w:rPr>
          <w:rFonts w:ascii="仿宋_GB2312" w:hAnsi="宋体" w:eastAsia="仿宋_GB2312"/>
          <w:sz w:val="24"/>
          <w:szCs w:val="24"/>
        </w:rPr>
        <w:t>‰的</w:t>
      </w:r>
      <w:r>
        <w:rPr>
          <w:rFonts w:hint="eastAsia" w:ascii="仿宋_GB2312" w:hAnsi="宋体" w:eastAsia="仿宋_GB2312"/>
          <w:sz w:val="24"/>
          <w:szCs w:val="24"/>
        </w:rPr>
        <w:t>违约</w:t>
      </w:r>
      <w:r>
        <w:rPr>
          <w:rFonts w:ascii="仿宋_GB2312" w:hAnsi="宋体" w:eastAsia="仿宋_GB2312"/>
          <w:sz w:val="24"/>
          <w:szCs w:val="24"/>
        </w:rPr>
        <w:t>金</w:t>
      </w:r>
      <w:r>
        <w:rPr>
          <w:rFonts w:hint="eastAsia" w:ascii="仿宋_GB2312" w:hAnsi="宋体" w:eastAsia="仿宋_GB2312"/>
          <w:sz w:val="24"/>
          <w:szCs w:val="24"/>
        </w:rPr>
        <w:t>。如乙方逾期达</w:t>
      </w:r>
      <w:r>
        <w:rPr>
          <w:rFonts w:hint="eastAsia" w:ascii="仿宋_GB2312" w:hAnsi="宋体" w:eastAsia="仿宋_GB2312"/>
          <w:sz w:val="24"/>
          <w:szCs w:val="24"/>
          <w:u w:val="single"/>
        </w:rPr>
        <w:t xml:space="preserve">    </w:t>
      </w:r>
      <w:r>
        <w:rPr>
          <w:rFonts w:hint="eastAsia" w:ascii="仿宋_GB2312" w:hAnsi="宋体" w:eastAsia="仿宋_GB2312"/>
          <w:sz w:val="24"/>
          <w:szCs w:val="24"/>
        </w:rPr>
        <w:t>天，甲方有权解除合同，甲方解除合同的通知自到达乙方时生效。在此情况下，乙方给甲方造成的实际损失高于违约金的，对高出违约金的部分乙方应予以赔偿。</w:t>
      </w:r>
    </w:p>
    <w:p w14:paraId="63D84C1F">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4.甲方未按合同规定的期限向乙方支付合同款的，每逾期1天甲方向乙方偿付欠款总额的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‰违约金，但累计违约金总额不超过欠款总额的</w:t>
      </w:r>
      <w:r>
        <w:rPr>
          <w:rFonts w:hint="eastAsia" w:ascii="仿宋_GB2312" w:hAnsi="宋体" w:eastAsia="仿宋_GB2312"/>
          <w:sz w:val="24"/>
          <w:szCs w:val="24"/>
          <w:u w:val="single"/>
        </w:rPr>
        <w:t xml:space="preserve">    </w:t>
      </w:r>
      <w:r>
        <w:rPr>
          <w:rFonts w:hint="eastAsia" w:ascii="仿宋_GB2312" w:hAnsi="宋体" w:eastAsia="仿宋_GB2312"/>
          <w:sz w:val="24"/>
          <w:szCs w:val="24"/>
        </w:rPr>
        <w:t>％。</w:t>
      </w:r>
    </w:p>
    <w:p w14:paraId="301C8E84">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5.其它未尽事宜，以《合同法》和《政府采购法》等有关法律法规规定为准，无相关规定的，双方协商解决。</w:t>
      </w:r>
    </w:p>
    <w:p w14:paraId="5819000E">
      <w:pPr>
        <w:snapToGrid w:val="0"/>
        <w:ind w:left="482"/>
        <w:rPr>
          <w:rFonts w:ascii="仿宋_GB2312" w:hAnsi="宋体" w:eastAsia="仿宋_GB2312"/>
          <w:b/>
          <w:sz w:val="24"/>
          <w:szCs w:val="24"/>
        </w:rPr>
      </w:pPr>
      <w:r>
        <w:rPr>
          <w:rFonts w:hint="eastAsia" w:ascii="仿宋_GB2312" w:hAnsi="宋体" w:eastAsia="仿宋_GB2312"/>
          <w:b/>
          <w:sz w:val="24"/>
          <w:szCs w:val="24"/>
        </w:rPr>
        <w:t>第十三条  不可抗力</w:t>
      </w:r>
    </w:p>
    <w:p w14:paraId="3A15CFC8">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甲、乙方中任何一方，因不可抗力不能按时或完全履行合同的，应及时通知对方，并在</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个工作日内提供相应证明，结算服务费用。未履行的部分是否继续履行、如何履行等问题，可由双方初步协商，并向主管部门和政府采购管理部门报告。确定为不可抗力原因造成的损失，免予承担责任。</w:t>
      </w:r>
    </w:p>
    <w:p w14:paraId="73D51B7C">
      <w:pPr>
        <w:snapToGrid w:val="0"/>
        <w:ind w:left="482"/>
        <w:rPr>
          <w:rFonts w:ascii="仿宋_GB2312" w:hAnsi="宋体" w:eastAsia="仿宋_GB2312"/>
          <w:b/>
          <w:sz w:val="24"/>
          <w:szCs w:val="24"/>
        </w:rPr>
      </w:pPr>
      <w:r>
        <w:rPr>
          <w:rFonts w:hint="eastAsia" w:ascii="仿宋_GB2312" w:hAnsi="宋体" w:eastAsia="仿宋_GB2312"/>
          <w:b/>
          <w:sz w:val="24"/>
          <w:szCs w:val="24"/>
        </w:rPr>
        <w:t>第十四条  争议的解决方式</w:t>
      </w:r>
    </w:p>
    <w:p w14:paraId="67BCF8E0">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1.因服务质量问题发生争议的，应当邀请国家认可的质量检测机构对服务进行鉴定。服务符合标准的，鉴定费由甲方承担；不符合质量标准的，鉴定费由乙方承担。</w:t>
      </w:r>
    </w:p>
    <w:p w14:paraId="4EE99A40">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2.在解释或者执行本合同的过程中发生争议时，双方应通过协商方式解决。</w:t>
      </w:r>
    </w:p>
    <w:p w14:paraId="65218277">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3.经协商不能解决的争议，双方可选择以下第</w:t>
      </w:r>
      <w:r>
        <w:rPr>
          <w:rFonts w:hint="eastAsia" w:ascii="仿宋_GB2312" w:hAnsi="宋体" w:eastAsia="仿宋_GB2312"/>
          <w:sz w:val="24"/>
          <w:szCs w:val="24"/>
          <w:u w:val="single"/>
        </w:rPr>
        <w:t xml:space="preserve">   </w:t>
      </w:r>
      <w:r>
        <w:rPr>
          <w:rFonts w:hint="eastAsia" w:ascii="仿宋_GB2312" w:hAnsi="宋体" w:eastAsia="仿宋_GB2312"/>
          <w:sz w:val="24"/>
          <w:szCs w:val="24"/>
        </w:rPr>
        <w:t>种方式解决：</w:t>
      </w:r>
    </w:p>
    <w:p w14:paraId="3ED240CC">
      <w:pPr>
        <w:snapToGrid w:val="0"/>
        <w:ind w:firstLine="480" w:firstLineChars="200"/>
        <w:rPr>
          <w:rFonts w:ascii="仿宋_GB2312" w:hAnsi="宋体" w:eastAsia="仿宋_GB2312"/>
          <w:sz w:val="24"/>
          <w:szCs w:val="24"/>
        </w:rPr>
      </w:pPr>
      <w:r>
        <w:rPr>
          <w:rFonts w:hint="eastAsia" w:ascii="仿宋_GB2312" w:hAnsi="仿宋_GB2312" w:eastAsia="仿宋_GB2312" w:cs="仿宋_GB2312"/>
          <w:sz w:val="24"/>
          <w:szCs w:val="24"/>
        </w:rPr>
        <w:t>①</w:t>
      </w:r>
      <w:r>
        <w:rPr>
          <w:rFonts w:hint="eastAsia" w:ascii="仿宋_GB2312" w:hAnsi="宋体" w:eastAsia="仿宋_GB2312"/>
          <w:sz w:val="24"/>
          <w:szCs w:val="24"/>
        </w:rPr>
        <w:t>向南通市有管辖权的法院提起诉讼；</w:t>
      </w:r>
    </w:p>
    <w:p w14:paraId="5E32D8FD">
      <w:pPr>
        <w:snapToGrid w:val="0"/>
        <w:ind w:firstLine="480" w:firstLineChars="200"/>
        <w:rPr>
          <w:rFonts w:ascii="仿宋_GB2312" w:hAnsi="宋体" w:eastAsia="仿宋_GB2312"/>
          <w:sz w:val="24"/>
          <w:szCs w:val="24"/>
        </w:rPr>
      </w:pPr>
      <w:r>
        <w:rPr>
          <w:rFonts w:hint="eastAsia" w:ascii="仿宋_GB2312" w:hAnsi="仿宋_GB2312" w:eastAsia="仿宋_GB2312" w:cs="仿宋_GB2312"/>
          <w:sz w:val="24"/>
          <w:szCs w:val="24"/>
        </w:rPr>
        <w:t>②</w:t>
      </w:r>
      <w:r>
        <w:rPr>
          <w:rFonts w:hint="eastAsia" w:ascii="仿宋_GB2312" w:hAnsi="宋体" w:eastAsia="仿宋_GB2312"/>
          <w:sz w:val="24"/>
          <w:szCs w:val="24"/>
        </w:rPr>
        <w:t>向南通市仲裁委员会提出仲裁。</w:t>
      </w:r>
    </w:p>
    <w:p w14:paraId="73AFF349">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4.在法院审理和仲裁期间，除有争议部分外，本合同其他部分可以履行的仍应按合同条款继续履行。</w:t>
      </w:r>
    </w:p>
    <w:p w14:paraId="0FF953BA">
      <w:pPr>
        <w:snapToGrid w:val="0"/>
        <w:ind w:left="482"/>
        <w:rPr>
          <w:rFonts w:ascii="仿宋_GB2312" w:hAnsi="宋体" w:eastAsia="仿宋_GB2312"/>
          <w:b/>
          <w:sz w:val="24"/>
          <w:szCs w:val="24"/>
        </w:rPr>
      </w:pPr>
      <w:r>
        <w:rPr>
          <w:rFonts w:hint="eastAsia" w:ascii="仿宋_GB2312" w:hAnsi="宋体" w:eastAsia="仿宋_GB2312"/>
          <w:b/>
          <w:sz w:val="24"/>
          <w:szCs w:val="24"/>
        </w:rPr>
        <w:t>第十五条  其他</w:t>
      </w:r>
    </w:p>
    <w:p w14:paraId="7D0BCF1B">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符合《政府采购法》第49条规定的，经双方协商，办理政府采购手续后，可签订补充合同，所签订的补充合同与本合同具有同等法律效力。</w:t>
      </w:r>
    </w:p>
    <w:p w14:paraId="0624E599">
      <w:pPr>
        <w:snapToGrid w:val="0"/>
        <w:ind w:firstLine="480" w:firstLineChars="200"/>
        <w:rPr>
          <w:rFonts w:ascii="仿宋_GB2312" w:hAnsi="宋体" w:eastAsia="仿宋_GB2312"/>
          <w:sz w:val="24"/>
          <w:szCs w:val="24"/>
        </w:rPr>
      </w:pPr>
      <w:r>
        <w:rPr>
          <w:rFonts w:hint="eastAsia" w:ascii="仿宋_GB2312" w:hAnsi="宋体" w:eastAsia="仿宋_GB2312"/>
          <w:sz w:val="24"/>
          <w:szCs w:val="24"/>
        </w:rPr>
        <w:t>本合同一式</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份，甲、乙双方各执</w:t>
      </w:r>
      <w:r>
        <w:rPr>
          <w:rFonts w:hint="eastAsia" w:ascii="仿宋_GB2312" w:hAnsi="宋体" w:eastAsia="仿宋_GB2312"/>
          <w:sz w:val="24"/>
          <w:szCs w:val="24"/>
          <w:u w:val="single"/>
        </w:rPr>
        <w:t xml:space="preserve">    </w:t>
      </w:r>
      <w:r>
        <w:rPr>
          <w:rFonts w:hint="eastAsia" w:ascii="仿宋_GB2312" w:hAnsi="宋体" w:eastAsia="仿宋_GB2312"/>
          <w:sz w:val="24"/>
          <w:szCs w:val="24"/>
        </w:rPr>
        <w:t>份。</w:t>
      </w:r>
    </w:p>
    <w:p w14:paraId="15239CD6">
      <w:pPr>
        <w:snapToGrid w:val="0"/>
        <w:ind w:firstLine="480" w:firstLineChars="200"/>
        <w:rPr>
          <w:rFonts w:ascii="仿宋_GB2312" w:hAnsi="宋体" w:eastAsia="仿宋_GB2312"/>
          <w:sz w:val="24"/>
          <w:szCs w:val="24"/>
        </w:rPr>
      </w:pPr>
    </w:p>
    <w:tbl>
      <w:tblPr>
        <w:tblStyle w:val="15"/>
        <w:tblW w:w="0" w:type="auto"/>
        <w:tblInd w:w="0" w:type="dxa"/>
        <w:tblLayout w:type="autofit"/>
        <w:tblCellMar>
          <w:top w:w="0" w:type="dxa"/>
          <w:left w:w="108" w:type="dxa"/>
          <w:bottom w:w="0" w:type="dxa"/>
          <w:right w:w="108" w:type="dxa"/>
        </w:tblCellMar>
      </w:tblPr>
      <w:tblGrid>
        <w:gridCol w:w="4261"/>
        <w:gridCol w:w="4261"/>
      </w:tblGrid>
      <w:tr w14:paraId="75CDC1EB">
        <w:tblPrEx>
          <w:tblCellMar>
            <w:top w:w="0" w:type="dxa"/>
            <w:left w:w="108" w:type="dxa"/>
            <w:bottom w:w="0" w:type="dxa"/>
            <w:right w:w="108" w:type="dxa"/>
          </w:tblCellMar>
        </w:tblPrEx>
        <w:tc>
          <w:tcPr>
            <w:tcW w:w="4261" w:type="dxa"/>
          </w:tcPr>
          <w:p w14:paraId="185A28FF">
            <w:pPr>
              <w:snapToGrid w:val="0"/>
              <w:rPr>
                <w:rFonts w:ascii="仿宋_GB2312" w:hAnsi="宋体" w:eastAsia="仿宋_GB2312"/>
                <w:sz w:val="24"/>
                <w:szCs w:val="24"/>
              </w:rPr>
            </w:pPr>
            <w:r>
              <w:rPr>
                <w:rFonts w:hint="eastAsia" w:ascii="仿宋_GB2312" w:hAnsi="宋体" w:eastAsia="仿宋_GB2312"/>
                <w:sz w:val="24"/>
                <w:szCs w:val="24"/>
              </w:rPr>
              <w:t>甲方（公章）：</w:t>
            </w:r>
          </w:p>
          <w:p w14:paraId="5893684E">
            <w:pPr>
              <w:snapToGrid w:val="0"/>
              <w:rPr>
                <w:rFonts w:ascii="仿宋_GB2312" w:hAnsi="宋体" w:eastAsia="仿宋_GB2312"/>
                <w:sz w:val="24"/>
                <w:szCs w:val="24"/>
              </w:rPr>
            </w:pPr>
            <w:r>
              <w:rPr>
                <w:rFonts w:hint="eastAsia" w:ascii="仿宋_GB2312" w:hAnsi="宋体" w:eastAsia="仿宋_GB2312"/>
                <w:sz w:val="24"/>
                <w:szCs w:val="24"/>
              </w:rPr>
              <w:t>地址：</w:t>
            </w:r>
          </w:p>
          <w:p w14:paraId="45D9302B">
            <w:pPr>
              <w:snapToGrid w:val="0"/>
              <w:rPr>
                <w:rFonts w:ascii="仿宋_GB2312" w:hAnsi="宋体" w:eastAsia="仿宋_GB2312"/>
                <w:sz w:val="24"/>
                <w:szCs w:val="24"/>
              </w:rPr>
            </w:pPr>
            <w:r>
              <w:rPr>
                <w:rFonts w:hint="eastAsia" w:ascii="仿宋_GB2312" w:hAnsi="宋体" w:eastAsia="仿宋_GB2312"/>
                <w:sz w:val="24"/>
                <w:szCs w:val="24"/>
              </w:rPr>
              <w:t>法定代表人（授权人）：</w:t>
            </w:r>
          </w:p>
          <w:p w14:paraId="73870352">
            <w:pPr>
              <w:snapToGrid w:val="0"/>
              <w:rPr>
                <w:rFonts w:ascii="仿宋_GB2312" w:hAnsi="宋体" w:eastAsia="仿宋_GB2312"/>
                <w:sz w:val="24"/>
                <w:szCs w:val="24"/>
              </w:rPr>
            </w:pPr>
          </w:p>
          <w:p w14:paraId="1A704860">
            <w:pPr>
              <w:snapToGrid w:val="0"/>
              <w:rPr>
                <w:rFonts w:ascii="仿宋_GB2312" w:hAnsi="宋体" w:eastAsia="仿宋_GB2312"/>
                <w:sz w:val="24"/>
                <w:szCs w:val="24"/>
              </w:rPr>
            </w:pPr>
          </w:p>
          <w:p w14:paraId="2ED70E5A">
            <w:pPr>
              <w:snapToGrid w:val="0"/>
              <w:jc w:val="right"/>
              <w:rPr>
                <w:rFonts w:ascii="仿宋_GB2312" w:hAnsi="宋体" w:eastAsia="仿宋_GB2312"/>
                <w:sz w:val="24"/>
                <w:szCs w:val="24"/>
              </w:rPr>
            </w:pPr>
            <w:r>
              <w:rPr>
                <w:rFonts w:hint="eastAsia" w:ascii="仿宋_GB2312" w:hAnsi="宋体" w:eastAsia="仿宋_GB2312"/>
                <w:sz w:val="24"/>
                <w:szCs w:val="24"/>
              </w:rPr>
              <w:t>年  月  日</w:t>
            </w:r>
          </w:p>
        </w:tc>
        <w:tc>
          <w:tcPr>
            <w:tcW w:w="4261" w:type="dxa"/>
          </w:tcPr>
          <w:p w14:paraId="744E896B">
            <w:pPr>
              <w:snapToGrid w:val="0"/>
              <w:rPr>
                <w:rFonts w:ascii="仿宋_GB2312" w:hAnsi="宋体" w:eastAsia="仿宋_GB2312"/>
                <w:sz w:val="24"/>
                <w:szCs w:val="24"/>
              </w:rPr>
            </w:pPr>
            <w:r>
              <w:rPr>
                <w:rFonts w:hint="eastAsia" w:ascii="仿宋_GB2312" w:hAnsi="宋体" w:eastAsia="仿宋_GB2312"/>
                <w:sz w:val="24"/>
                <w:szCs w:val="24"/>
              </w:rPr>
              <w:t>乙方（公章）：</w:t>
            </w:r>
          </w:p>
          <w:p w14:paraId="6FA1A8B8">
            <w:pPr>
              <w:snapToGrid w:val="0"/>
              <w:rPr>
                <w:rFonts w:ascii="仿宋_GB2312" w:hAnsi="宋体" w:eastAsia="仿宋_GB2312"/>
                <w:sz w:val="24"/>
                <w:szCs w:val="24"/>
              </w:rPr>
            </w:pPr>
            <w:r>
              <w:rPr>
                <w:rFonts w:hint="eastAsia" w:ascii="仿宋_GB2312" w:hAnsi="宋体" w:eastAsia="仿宋_GB2312"/>
                <w:sz w:val="24"/>
                <w:szCs w:val="24"/>
              </w:rPr>
              <w:t>地址：</w:t>
            </w:r>
          </w:p>
          <w:p w14:paraId="13B49AB6">
            <w:pPr>
              <w:snapToGrid w:val="0"/>
              <w:rPr>
                <w:rFonts w:ascii="仿宋_GB2312" w:hAnsi="宋体" w:eastAsia="仿宋_GB2312"/>
                <w:sz w:val="24"/>
                <w:szCs w:val="24"/>
              </w:rPr>
            </w:pPr>
            <w:r>
              <w:rPr>
                <w:rFonts w:hint="eastAsia" w:ascii="仿宋_GB2312" w:hAnsi="宋体" w:eastAsia="仿宋_GB2312"/>
                <w:sz w:val="24"/>
                <w:szCs w:val="24"/>
              </w:rPr>
              <w:t>法定代表人（授权人）：</w:t>
            </w:r>
          </w:p>
          <w:p w14:paraId="71104467">
            <w:pPr>
              <w:snapToGrid w:val="0"/>
              <w:rPr>
                <w:rFonts w:ascii="仿宋_GB2312" w:hAnsi="宋体" w:eastAsia="仿宋_GB2312"/>
                <w:sz w:val="24"/>
                <w:szCs w:val="24"/>
              </w:rPr>
            </w:pPr>
            <w:r>
              <w:rPr>
                <w:rFonts w:hint="eastAsia" w:ascii="仿宋_GB2312" w:hAnsi="宋体" w:eastAsia="仿宋_GB2312"/>
                <w:sz w:val="24"/>
                <w:szCs w:val="24"/>
              </w:rPr>
              <w:t>开户行：</w:t>
            </w:r>
          </w:p>
          <w:p w14:paraId="5E42B67B">
            <w:pPr>
              <w:snapToGrid w:val="0"/>
              <w:rPr>
                <w:rFonts w:ascii="仿宋_GB2312" w:hAnsi="宋体" w:eastAsia="仿宋_GB2312"/>
                <w:sz w:val="24"/>
                <w:szCs w:val="24"/>
              </w:rPr>
            </w:pPr>
            <w:r>
              <w:rPr>
                <w:rFonts w:hint="eastAsia" w:ascii="仿宋_GB2312" w:hAnsi="宋体" w:eastAsia="仿宋_GB2312"/>
                <w:sz w:val="24"/>
                <w:szCs w:val="24"/>
              </w:rPr>
              <w:t>银行账号：</w:t>
            </w:r>
          </w:p>
          <w:p w14:paraId="62B47997">
            <w:pPr>
              <w:snapToGrid w:val="0"/>
              <w:jc w:val="right"/>
              <w:rPr>
                <w:rFonts w:ascii="仿宋_GB2312" w:hAnsi="宋体" w:eastAsia="仿宋_GB2312"/>
                <w:sz w:val="24"/>
                <w:szCs w:val="24"/>
              </w:rPr>
            </w:pPr>
            <w:r>
              <w:rPr>
                <w:rFonts w:hint="eastAsia" w:ascii="仿宋_GB2312" w:hAnsi="宋体" w:eastAsia="仿宋_GB2312"/>
                <w:sz w:val="24"/>
                <w:szCs w:val="24"/>
              </w:rPr>
              <w:t xml:space="preserve">        年  月  日</w:t>
            </w:r>
          </w:p>
        </w:tc>
      </w:tr>
    </w:tbl>
    <w:p w14:paraId="7C6DAAAA">
      <w:pPr>
        <w:snapToGrid w:val="0"/>
        <w:rPr>
          <w:rFonts w:ascii="仿宋_GB2312" w:hAnsi="宋体" w:eastAsia="仿宋_GB2312"/>
          <w:sz w:val="24"/>
          <w:szCs w:val="24"/>
        </w:rPr>
      </w:pPr>
    </w:p>
    <w:p w14:paraId="7D18BD6C">
      <w:pPr>
        <w:snapToGrid w:val="0"/>
        <w:rPr>
          <w:rFonts w:ascii="仿宋_GB2312" w:hAnsi="宋体" w:eastAsia="仿宋_GB2312"/>
          <w:sz w:val="24"/>
          <w:szCs w:val="24"/>
        </w:rPr>
      </w:pPr>
      <w:r>
        <w:rPr>
          <w:rFonts w:hint="eastAsia" w:ascii="仿宋_GB2312" w:hAnsi="宋体" w:eastAsia="仿宋_GB2312"/>
          <w:sz w:val="24"/>
          <w:szCs w:val="24"/>
        </w:rPr>
        <w:t>见证方（公章）：</w:t>
      </w:r>
    </w:p>
    <w:p w14:paraId="75BB3532">
      <w:pPr>
        <w:snapToGrid w:val="0"/>
        <w:rPr>
          <w:rFonts w:ascii="仿宋_GB2312" w:hAnsi="宋体" w:eastAsia="仿宋_GB2312"/>
          <w:sz w:val="24"/>
          <w:szCs w:val="24"/>
        </w:rPr>
      </w:pPr>
      <w:r>
        <w:rPr>
          <w:rFonts w:hint="eastAsia" w:ascii="仿宋_GB2312" w:hAnsi="宋体" w:eastAsia="仿宋_GB2312"/>
          <w:sz w:val="24"/>
          <w:szCs w:val="24"/>
        </w:rPr>
        <w:t>地址：</w:t>
      </w:r>
    </w:p>
    <w:p w14:paraId="5EFDD2AA">
      <w:pPr>
        <w:snapToGrid w:val="0"/>
        <w:rPr>
          <w:rFonts w:ascii="仿宋_GB2312" w:hAnsi="宋体" w:eastAsia="仿宋_GB2312"/>
          <w:sz w:val="24"/>
          <w:szCs w:val="24"/>
        </w:rPr>
      </w:pPr>
    </w:p>
    <w:p w14:paraId="167989D2">
      <w:pPr>
        <w:snapToGrid w:val="0"/>
        <w:rPr>
          <w:rFonts w:ascii="仿宋_GB2312" w:hAnsi="宋体" w:eastAsia="仿宋_GB2312"/>
          <w:sz w:val="24"/>
          <w:szCs w:val="24"/>
        </w:rPr>
      </w:pPr>
      <w:r>
        <w:rPr>
          <w:rFonts w:hint="eastAsia" w:ascii="仿宋_GB2312" w:hAnsi="宋体" w:eastAsia="仿宋_GB2312"/>
          <w:sz w:val="24"/>
          <w:szCs w:val="24"/>
        </w:rPr>
        <w:t>经办人：</w:t>
      </w:r>
    </w:p>
    <w:p w14:paraId="40336404">
      <w:pPr>
        <w:tabs>
          <w:tab w:val="left" w:pos="1050"/>
          <w:tab w:val="right" w:leader="dot" w:pos="9402"/>
        </w:tabs>
        <w:snapToGrid w:val="0"/>
        <w:spacing w:beforeLines="100"/>
        <w:jc w:val="center"/>
        <w:rPr>
          <w:rFonts w:asciiTheme="minorEastAsia" w:hAnsiTheme="minorEastAsia" w:eastAsiaTheme="minorEastAsia" w:cstheme="minorEastAsia"/>
          <w:b/>
          <w:w w:val="80"/>
          <w:sz w:val="24"/>
          <w:szCs w:val="24"/>
        </w:rPr>
      </w:pPr>
      <w:r>
        <w:rPr>
          <w:rFonts w:hint="eastAsia" w:ascii="仿宋_GB2312" w:hAnsi="宋体" w:eastAsia="仿宋_GB2312"/>
          <w:sz w:val="24"/>
          <w:szCs w:val="24"/>
        </w:rPr>
        <w:t>年  月  日</w:t>
      </w:r>
    </w:p>
    <w:p w14:paraId="2F79F998">
      <w:pPr>
        <w:tabs>
          <w:tab w:val="left" w:pos="1050"/>
          <w:tab w:val="right" w:leader="dot" w:pos="9402"/>
        </w:tabs>
        <w:snapToGrid w:val="0"/>
        <w:spacing w:beforeLines="100"/>
        <w:jc w:val="center"/>
        <w:rPr>
          <w:rFonts w:asciiTheme="minorEastAsia" w:hAnsiTheme="minorEastAsia" w:eastAsiaTheme="minorEastAsia" w:cstheme="minorEastAsia"/>
          <w:b/>
          <w:w w:val="80"/>
          <w:sz w:val="24"/>
          <w:szCs w:val="24"/>
        </w:rPr>
      </w:pPr>
    </w:p>
    <w:p w14:paraId="312639A6">
      <w:pPr>
        <w:tabs>
          <w:tab w:val="left" w:pos="1050"/>
          <w:tab w:val="right" w:leader="dot" w:pos="9402"/>
        </w:tabs>
        <w:snapToGrid w:val="0"/>
        <w:spacing w:beforeLines="100"/>
        <w:jc w:val="center"/>
        <w:rPr>
          <w:rFonts w:asciiTheme="minorEastAsia" w:hAnsiTheme="minorEastAsia" w:eastAsiaTheme="minorEastAsia" w:cstheme="minorEastAsia"/>
          <w:b/>
          <w:w w:val="80"/>
          <w:sz w:val="24"/>
          <w:szCs w:val="24"/>
        </w:rPr>
      </w:pPr>
    </w:p>
    <w:p w14:paraId="712B7F7D">
      <w:pPr>
        <w:tabs>
          <w:tab w:val="left" w:pos="1050"/>
          <w:tab w:val="right" w:leader="dot" w:pos="9402"/>
        </w:tabs>
        <w:snapToGrid w:val="0"/>
        <w:spacing w:beforeLines="100"/>
        <w:jc w:val="center"/>
        <w:rPr>
          <w:rFonts w:asciiTheme="minorEastAsia" w:hAnsiTheme="minorEastAsia" w:eastAsiaTheme="minorEastAsia" w:cstheme="minorEastAsia"/>
          <w:b/>
          <w:w w:val="80"/>
          <w:sz w:val="24"/>
          <w:szCs w:val="24"/>
        </w:rPr>
      </w:pPr>
    </w:p>
    <w:p w14:paraId="610E6350">
      <w:pPr>
        <w:tabs>
          <w:tab w:val="left" w:pos="1050"/>
          <w:tab w:val="right" w:leader="dot" w:pos="9402"/>
        </w:tabs>
        <w:snapToGrid w:val="0"/>
        <w:spacing w:beforeLines="100"/>
        <w:jc w:val="center"/>
        <w:rPr>
          <w:rFonts w:asciiTheme="minorEastAsia" w:hAnsiTheme="minorEastAsia" w:eastAsiaTheme="minorEastAsia" w:cstheme="minorEastAsia"/>
          <w:b/>
          <w:w w:val="80"/>
          <w:sz w:val="24"/>
          <w:szCs w:val="24"/>
        </w:rPr>
      </w:pPr>
    </w:p>
    <w:p w14:paraId="6693A0C4">
      <w:pPr>
        <w:tabs>
          <w:tab w:val="left" w:pos="1050"/>
          <w:tab w:val="right" w:leader="dot" w:pos="9402"/>
        </w:tabs>
        <w:snapToGrid w:val="0"/>
        <w:spacing w:beforeLines="100"/>
        <w:jc w:val="center"/>
        <w:rPr>
          <w:rFonts w:asciiTheme="minorEastAsia" w:hAnsiTheme="minorEastAsia" w:eastAsiaTheme="minorEastAsia" w:cstheme="minorEastAsia"/>
          <w:b/>
          <w:w w:val="80"/>
          <w:sz w:val="24"/>
          <w:szCs w:val="24"/>
        </w:rPr>
      </w:pPr>
    </w:p>
    <w:p w14:paraId="39617259">
      <w:pPr>
        <w:tabs>
          <w:tab w:val="left" w:pos="1050"/>
          <w:tab w:val="right" w:leader="dot" w:pos="9402"/>
        </w:tabs>
        <w:snapToGrid w:val="0"/>
        <w:spacing w:beforeLines="100"/>
        <w:jc w:val="center"/>
        <w:rPr>
          <w:rFonts w:asciiTheme="minorEastAsia" w:hAnsiTheme="minorEastAsia" w:eastAsiaTheme="minorEastAsia" w:cstheme="minorEastAsia"/>
          <w:b/>
          <w:w w:val="80"/>
          <w:sz w:val="24"/>
          <w:szCs w:val="24"/>
        </w:rPr>
      </w:pPr>
    </w:p>
    <w:p w14:paraId="70D08DE5">
      <w:pPr>
        <w:tabs>
          <w:tab w:val="left" w:pos="1050"/>
          <w:tab w:val="right" w:leader="dot" w:pos="9402"/>
        </w:tabs>
        <w:snapToGrid w:val="0"/>
        <w:spacing w:beforeLines="100"/>
        <w:jc w:val="center"/>
        <w:rPr>
          <w:b/>
          <w:sz w:val="24"/>
          <w:szCs w:val="24"/>
        </w:rPr>
      </w:pPr>
      <w:r>
        <w:rPr>
          <w:rFonts w:asciiTheme="minorEastAsia" w:hAnsiTheme="minorEastAsia" w:eastAsiaTheme="minorEastAsia" w:cstheme="minorEastAsia"/>
          <w:b/>
          <w:w w:val="80"/>
          <w:sz w:val="24"/>
          <w:szCs w:val="24"/>
        </w:rPr>
        <w:br w:type="page"/>
      </w:r>
      <w:bookmarkStart w:id="51" w:name="_Toc22160"/>
      <w:r>
        <w:rPr>
          <w:rFonts w:hint="eastAsia" w:ascii="方正小标宋简体" w:eastAsia="方正小标宋简体"/>
          <w:bCs/>
          <w:sz w:val="24"/>
          <w:szCs w:val="24"/>
        </w:rPr>
        <w:t>第五章 评审标准和方法</w:t>
      </w:r>
    </w:p>
    <w:p w14:paraId="61E488FE">
      <w:pPr>
        <w:snapToGrid w:val="0"/>
        <w:ind w:firstLine="480" w:firstLineChars="200"/>
        <w:rPr>
          <w:rFonts w:ascii="仿宋" w:hAnsi="仿宋" w:eastAsia="仿宋"/>
          <w:sz w:val="24"/>
          <w:szCs w:val="24"/>
        </w:rPr>
      </w:pPr>
      <w:r>
        <w:rPr>
          <w:rFonts w:hint="eastAsia" w:ascii="仿宋" w:hAnsi="仿宋" w:eastAsia="仿宋"/>
          <w:sz w:val="24"/>
          <w:szCs w:val="24"/>
        </w:rPr>
        <w:t>一、评审方法为综合评分法，即磋商响应文件能够最大限度的满足磋商文件规定的各项综合评价标准且经评审得分最高的供应商为中标候选人的评标方法。</w:t>
      </w:r>
    </w:p>
    <w:p w14:paraId="2B9042E1">
      <w:pPr>
        <w:snapToGrid w:val="0"/>
        <w:ind w:firstLine="480" w:firstLineChars="200"/>
        <w:rPr>
          <w:rFonts w:ascii="仿宋" w:hAnsi="仿宋" w:eastAsia="仿宋"/>
          <w:sz w:val="24"/>
          <w:szCs w:val="24"/>
        </w:rPr>
      </w:pPr>
      <w:r>
        <w:rPr>
          <w:rFonts w:hint="eastAsia" w:ascii="仿宋" w:hAnsi="仿宋" w:eastAsia="仿宋"/>
          <w:sz w:val="24"/>
          <w:szCs w:val="24"/>
        </w:rPr>
        <w:t>磋商小组将对通过资格及符合性检查的各合格磋商人根据磋商响应文件和磋商货物的性能、价格、商务等因素进行评分，总分为100分(不含清单内产品加分)。磋商人的最终得分是所有评委给其的评分(不含报价得分)的算术平均值加价格分和清单内产品加分，分数计算取至小数点后2位。</w:t>
      </w:r>
    </w:p>
    <w:p w14:paraId="2A0FF16A">
      <w:pPr>
        <w:snapToGrid w:val="0"/>
        <w:ind w:firstLine="480" w:firstLineChars="200"/>
        <w:rPr>
          <w:rFonts w:ascii="仿宋" w:hAnsi="仿宋" w:eastAsia="仿宋"/>
          <w:sz w:val="24"/>
          <w:szCs w:val="24"/>
        </w:rPr>
      </w:pPr>
      <w:r>
        <w:rPr>
          <w:rFonts w:hint="eastAsia" w:ascii="仿宋" w:hAnsi="仿宋" w:eastAsia="仿宋"/>
          <w:sz w:val="24"/>
          <w:szCs w:val="24"/>
        </w:rPr>
        <w:t>二、评审因素：价格、技术、商务、业绩、服务、对磋商文件的响应程度等，以及相应的比重或者权值等。</w:t>
      </w:r>
    </w:p>
    <w:p w14:paraId="718F7D11">
      <w:pPr>
        <w:snapToGrid w:val="0"/>
        <w:ind w:firstLine="480" w:firstLineChars="200"/>
        <w:rPr>
          <w:rFonts w:ascii="仿宋" w:hAnsi="仿宋" w:eastAsia="仿宋"/>
          <w:sz w:val="24"/>
          <w:szCs w:val="24"/>
        </w:rPr>
      </w:pPr>
      <w:r>
        <w:rPr>
          <w:rFonts w:hint="eastAsia" w:ascii="仿宋" w:hAnsi="仿宋" w:eastAsia="仿宋"/>
          <w:sz w:val="24"/>
          <w:szCs w:val="24"/>
        </w:rPr>
        <w:t>三、价格分应当采用低价优先法计算，即满足招标文件要求且投标价格最低的投标报价为评标基准价，其价格分为满分。其他投标人的价格分统一按照下列公式计算：</w:t>
      </w:r>
    </w:p>
    <w:p w14:paraId="2B54AC58">
      <w:pPr>
        <w:snapToGrid w:val="0"/>
        <w:ind w:firstLine="480" w:firstLineChars="200"/>
        <w:rPr>
          <w:rFonts w:ascii="仿宋" w:hAnsi="仿宋" w:eastAsia="仿宋"/>
          <w:sz w:val="24"/>
          <w:szCs w:val="24"/>
        </w:rPr>
      </w:pPr>
      <w:r>
        <w:rPr>
          <w:rFonts w:hint="eastAsia" w:ascii="仿宋" w:hAnsi="仿宋" w:eastAsia="仿宋"/>
          <w:sz w:val="24"/>
          <w:szCs w:val="24"/>
        </w:rPr>
        <w:t>投标报价得分=(评标基准价／投标报价)×100</w:t>
      </w:r>
    </w:p>
    <w:p w14:paraId="07059A9F">
      <w:pPr>
        <w:snapToGrid w:val="0"/>
        <w:ind w:firstLine="480" w:firstLineChars="200"/>
        <w:rPr>
          <w:rFonts w:ascii="仿宋" w:hAnsi="仿宋" w:eastAsia="仿宋"/>
          <w:sz w:val="24"/>
          <w:szCs w:val="24"/>
        </w:rPr>
      </w:pPr>
      <w:r>
        <w:rPr>
          <w:rFonts w:hint="eastAsia" w:ascii="仿宋" w:hAnsi="仿宋" w:eastAsia="仿宋"/>
          <w:sz w:val="24"/>
          <w:szCs w:val="24"/>
        </w:rPr>
        <w:t>评标过程中，不得去掉报价中的最高报价和最低报价。因落实政府采购政策进行价格调整的，以调整后的价格计算评标基准价和投标报价。</w:t>
      </w:r>
    </w:p>
    <w:p w14:paraId="74BAA24A">
      <w:pPr>
        <w:snapToGrid w:val="0"/>
        <w:ind w:firstLine="480" w:firstLineChars="200"/>
        <w:rPr>
          <w:rFonts w:ascii="仿宋" w:hAnsi="仿宋" w:eastAsia="仿宋"/>
          <w:sz w:val="24"/>
          <w:szCs w:val="24"/>
        </w:rPr>
      </w:pPr>
      <w:r>
        <w:rPr>
          <w:rFonts w:hint="eastAsia" w:ascii="仿宋" w:hAnsi="仿宋" w:eastAsia="仿宋"/>
          <w:sz w:val="24"/>
          <w:szCs w:val="24"/>
        </w:rPr>
        <w:t>四、评分标准</w:t>
      </w:r>
    </w:p>
    <w:p w14:paraId="34B834F9">
      <w:pPr>
        <w:pStyle w:val="28"/>
        <w:snapToGrid w:val="0"/>
        <w:spacing w:line="240" w:lineRule="auto"/>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磋商小组由3人组成，供应商得分为磋商小组3个成员的平均分。</w:t>
      </w:r>
    </w:p>
    <w:p w14:paraId="429B2ADD">
      <w:pPr>
        <w:numPr>
          <w:ilvl w:val="0"/>
          <w:numId w:val="3"/>
        </w:num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技术商务响应文件(满分70分)</w:t>
      </w:r>
    </w:p>
    <w:tbl>
      <w:tblPr>
        <w:tblStyle w:val="15"/>
        <w:tblW w:w="8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004"/>
        <w:gridCol w:w="1143"/>
        <w:gridCol w:w="890"/>
        <w:gridCol w:w="4544"/>
      </w:tblGrid>
      <w:tr w14:paraId="4B02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15" w:type="dxa"/>
            <w:vAlign w:val="center"/>
          </w:tcPr>
          <w:p w14:paraId="3245B045">
            <w:pPr>
              <w:widowControl/>
              <w:snapToGrid w:val="0"/>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序号</w:t>
            </w:r>
          </w:p>
        </w:tc>
        <w:tc>
          <w:tcPr>
            <w:tcW w:w="1004" w:type="dxa"/>
            <w:vAlign w:val="center"/>
          </w:tcPr>
          <w:p w14:paraId="6786CA4C">
            <w:pPr>
              <w:widowControl/>
              <w:snapToGrid w:val="0"/>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评分项目</w:t>
            </w:r>
          </w:p>
        </w:tc>
        <w:tc>
          <w:tcPr>
            <w:tcW w:w="1143" w:type="dxa"/>
            <w:vAlign w:val="center"/>
          </w:tcPr>
          <w:p w14:paraId="250659F8">
            <w:pPr>
              <w:widowControl/>
              <w:snapToGrid w:val="0"/>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评审项</w:t>
            </w:r>
          </w:p>
        </w:tc>
        <w:tc>
          <w:tcPr>
            <w:tcW w:w="890" w:type="dxa"/>
            <w:vAlign w:val="center"/>
          </w:tcPr>
          <w:p w14:paraId="3883E01D">
            <w:pPr>
              <w:widowControl/>
              <w:snapToGrid w:val="0"/>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分值</w:t>
            </w:r>
          </w:p>
          <w:p w14:paraId="4C90C6E8">
            <w:pPr>
              <w:widowControl/>
              <w:snapToGrid w:val="0"/>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（分）</w:t>
            </w:r>
          </w:p>
        </w:tc>
        <w:tc>
          <w:tcPr>
            <w:tcW w:w="4544" w:type="dxa"/>
            <w:vAlign w:val="center"/>
          </w:tcPr>
          <w:p w14:paraId="32328924">
            <w:pPr>
              <w:widowControl/>
              <w:snapToGrid w:val="0"/>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评分标准</w:t>
            </w:r>
          </w:p>
        </w:tc>
      </w:tr>
      <w:tr w14:paraId="0778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515" w:type="dxa"/>
            <w:vMerge w:val="restart"/>
            <w:vAlign w:val="center"/>
          </w:tcPr>
          <w:p w14:paraId="626C1336">
            <w:pPr>
              <w:widowControl/>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1004" w:type="dxa"/>
            <w:vMerge w:val="restart"/>
            <w:vAlign w:val="center"/>
          </w:tcPr>
          <w:p w14:paraId="19C3E5DF">
            <w:pPr>
              <w:widowControl/>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技术响应</w:t>
            </w:r>
          </w:p>
          <w:p w14:paraId="6D0CB708">
            <w:pPr>
              <w:widowControl/>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（70分）</w:t>
            </w:r>
          </w:p>
        </w:tc>
        <w:tc>
          <w:tcPr>
            <w:tcW w:w="1143" w:type="dxa"/>
            <w:vAlign w:val="center"/>
          </w:tcPr>
          <w:p w14:paraId="05793FD0">
            <w:pPr>
              <w:widowControl/>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设计方案</w:t>
            </w:r>
          </w:p>
        </w:tc>
        <w:tc>
          <w:tcPr>
            <w:tcW w:w="890" w:type="dxa"/>
            <w:vAlign w:val="center"/>
          </w:tcPr>
          <w:p w14:paraId="2B6CF2C2">
            <w:pPr>
              <w:widowControl/>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30分</w:t>
            </w:r>
          </w:p>
        </w:tc>
        <w:tc>
          <w:tcPr>
            <w:tcW w:w="4544" w:type="dxa"/>
            <w:vAlign w:val="center"/>
          </w:tcPr>
          <w:p w14:paraId="06AC76DD">
            <w:pPr>
              <w:widowControl/>
              <w:snapToGrid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技术部分从以下几个方面进行综合评估，根据完善程度和针对性进行综合评分：①方案设计符合有关技术规范及标准规定的要求（0-6分）；②方案设计水平、设计质量高低、对招标目标的响应度（0-6分）；③方案社会效益、经济效益及环境效益的高低（0-6分）；④方案设计的安全性、合理性（0-6分）⑤方案投资估算的合理性及经济技术指标的准确度（0-6分）。</w:t>
            </w:r>
          </w:p>
        </w:tc>
      </w:tr>
      <w:tr w14:paraId="490B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515" w:type="dxa"/>
            <w:vMerge w:val="continue"/>
            <w:vAlign w:val="center"/>
          </w:tcPr>
          <w:p w14:paraId="00C3F5D6">
            <w:pPr>
              <w:widowControl/>
              <w:snapToGrid w:val="0"/>
              <w:jc w:val="center"/>
              <w:rPr>
                <w:rFonts w:asciiTheme="minorEastAsia" w:hAnsiTheme="minorEastAsia" w:eastAsiaTheme="minorEastAsia" w:cstheme="minorEastAsia"/>
                <w:kern w:val="0"/>
                <w:sz w:val="24"/>
                <w:szCs w:val="24"/>
              </w:rPr>
            </w:pPr>
          </w:p>
        </w:tc>
        <w:tc>
          <w:tcPr>
            <w:tcW w:w="1004" w:type="dxa"/>
            <w:vMerge w:val="continue"/>
            <w:vAlign w:val="center"/>
          </w:tcPr>
          <w:p w14:paraId="6A9F2EE8">
            <w:pPr>
              <w:widowControl/>
              <w:snapToGrid w:val="0"/>
              <w:jc w:val="center"/>
              <w:rPr>
                <w:rFonts w:asciiTheme="minorEastAsia" w:hAnsiTheme="minorEastAsia" w:eastAsiaTheme="minorEastAsia" w:cstheme="minorEastAsia"/>
                <w:sz w:val="24"/>
                <w:szCs w:val="24"/>
              </w:rPr>
            </w:pPr>
          </w:p>
        </w:tc>
        <w:tc>
          <w:tcPr>
            <w:tcW w:w="1143" w:type="dxa"/>
            <w:vAlign w:val="center"/>
          </w:tcPr>
          <w:p w14:paraId="4E71867F">
            <w:pPr>
              <w:widowControl/>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企业综合实力</w:t>
            </w:r>
          </w:p>
        </w:tc>
        <w:tc>
          <w:tcPr>
            <w:tcW w:w="890" w:type="dxa"/>
            <w:vAlign w:val="center"/>
          </w:tcPr>
          <w:p w14:paraId="61E6D973">
            <w:pPr>
              <w:widowControl/>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20分</w:t>
            </w:r>
          </w:p>
        </w:tc>
        <w:tc>
          <w:tcPr>
            <w:tcW w:w="4544" w:type="dxa"/>
            <w:vAlign w:val="center"/>
          </w:tcPr>
          <w:p w14:paraId="39B106DD">
            <w:pPr>
              <w:widowControl/>
              <w:snapToGrid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设计业绩：投标供应商近3年内（以合同签订时间为准）承担过维修改造设计业绩的，每个得5分，本项满分20分。 注：证明材料以提供的设计合同为准。设计合同须提供原件备查。</w:t>
            </w:r>
          </w:p>
        </w:tc>
      </w:tr>
      <w:tr w14:paraId="3762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15" w:type="dxa"/>
            <w:vMerge w:val="continue"/>
            <w:vAlign w:val="center"/>
          </w:tcPr>
          <w:p w14:paraId="1F33E3A8">
            <w:pPr>
              <w:widowControl/>
              <w:snapToGrid w:val="0"/>
              <w:jc w:val="center"/>
              <w:rPr>
                <w:rFonts w:asciiTheme="minorEastAsia" w:hAnsiTheme="minorEastAsia" w:eastAsiaTheme="minorEastAsia" w:cstheme="minorEastAsia"/>
                <w:kern w:val="0"/>
                <w:sz w:val="24"/>
                <w:szCs w:val="24"/>
              </w:rPr>
            </w:pPr>
          </w:p>
        </w:tc>
        <w:tc>
          <w:tcPr>
            <w:tcW w:w="1004" w:type="dxa"/>
            <w:vMerge w:val="continue"/>
            <w:vAlign w:val="center"/>
          </w:tcPr>
          <w:p w14:paraId="483068A1">
            <w:pPr>
              <w:widowControl/>
              <w:snapToGrid w:val="0"/>
              <w:jc w:val="center"/>
              <w:rPr>
                <w:rFonts w:asciiTheme="minorEastAsia" w:hAnsiTheme="minorEastAsia" w:eastAsiaTheme="minorEastAsia" w:cstheme="minorEastAsia"/>
                <w:sz w:val="24"/>
                <w:szCs w:val="24"/>
              </w:rPr>
            </w:pPr>
          </w:p>
        </w:tc>
        <w:tc>
          <w:tcPr>
            <w:tcW w:w="1143" w:type="dxa"/>
            <w:vAlign w:val="center"/>
          </w:tcPr>
          <w:p w14:paraId="636C98B3">
            <w:pPr>
              <w:widowControl/>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服务承诺</w:t>
            </w:r>
          </w:p>
        </w:tc>
        <w:tc>
          <w:tcPr>
            <w:tcW w:w="890" w:type="dxa"/>
            <w:vAlign w:val="center"/>
          </w:tcPr>
          <w:p w14:paraId="752A7A45">
            <w:pPr>
              <w:widowControl/>
              <w:snapToGrid w:val="0"/>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20分</w:t>
            </w:r>
          </w:p>
        </w:tc>
        <w:tc>
          <w:tcPr>
            <w:tcW w:w="4544" w:type="dxa"/>
            <w:vAlign w:val="center"/>
          </w:tcPr>
          <w:p w14:paraId="76358124">
            <w:pPr>
              <w:widowControl/>
              <w:snapToGrid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根据投标供应商提出的设计质量保证措施、进度保证措施、提供优质服务（施工配合服务等）措施的合理性、完整性和可执行性进行综合评分（0-20分）</w:t>
            </w:r>
          </w:p>
        </w:tc>
      </w:tr>
      <w:tr w14:paraId="1CBB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5" w:type="dxa"/>
            <w:vAlign w:val="center"/>
          </w:tcPr>
          <w:p w14:paraId="71D73FA0">
            <w:pPr>
              <w:widowControl/>
              <w:snapToGri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备注</w:t>
            </w:r>
          </w:p>
        </w:tc>
        <w:tc>
          <w:tcPr>
            <w:tcW w:w="7581" w:type="dxa"/>
            <w:gridSpan w:val="4"/>
            <w:vAlign w:val="center"/>
          </w:tcPr>
          <w:p w14:paraId="4F0F7961">
            <w:pPr>
              <w:widowControl/>
              <w:snapToGri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以上所提供的证书等证明材料复印件必须提供原件现场核查，未提供原件或不能证明其真实有效性的，对应项不得分。如投标单位提供的相关证明材料存在弄虚作假行为，一经发现将没收其投标保证金，取消其投标或中标资格，并将上报行政主管部门依法依规处理。</w:t>
            </w:r>
          </w:p>
        </w:tc>
      </w:tr>
    </w:tbl>
    <w:p w14:paraId="54197A91">
      <w:pPr>
        <w:pStyle w:val="4"/>
        <w:snapToGrid w:val="0"/>
        <w:rPr>
          <w:rFonts w:asciiTheme="minorEastAsia" w:hAnsiTheme="minorEastAsia" w:eastAsiaTheme="minorEastAsia" w:cstheme="minorEastAsia"/>
          <w:sz w:val="24"/>
          <w:szCs w:val="24"/>
          <w:highlight w:val="yellow"/>
        </w:rPr>
      </w:pPr>
    </w:p>
    <w:p w14:paraId="64FC22F6">
      <w:pPr>
        <w:snapToGrid w:val="0"/>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（二）商务磋商响应文件(满分30分)</w:t>
      </w:r>
    </w:p>
    <w:p w14:paraId="253576F6">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1、本次项目最高限价为61965元；投标报价不得超过该项目最高限价，否则做无效投标处理。</w:t>
      </w:r>
    </w:p>
    <w:p w14:paraId="12A587EC">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2、价格分统一采用低价优先法计算，即满足采购文件要求且投标价格最低的投标报价为评标基准价，其价格分为满分。其他供应商的价格分统一按照下列公式计算：</w:t>
      </w:r>
    </w:p>
    <w:p w14:paraId="1C890021">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投标报价得分=（评标基准价/投标报价）×30</w:t>
      </w:r>
    </w:p>
    <w:p w14:paraId="293D01CA">
      <w:pPr>
        <w:snapToGrid w:val="0"/>
        <w:ind w:firstLine="480" w:firstLineChars="200"/>
        <w:rPr>
          <w:rFonts w:ascii="仿宋" w:hAnsi="仿宋" w:eastAsia="仿宋"/>
          <w:sz w:val="24"/>
          <w:szCs w:val="24"/>
        </w:rPr>
      </w:pPr>
      <w:r>
        <w:rPr>
          <w:rFonts w:hint="eastAsia" w:asciiTheme="minorEastAsia" w:hAnsiTheme="minorEastAsia" w:eastAsiaTheme="minorEastAsia" w:cstheme="minorEastAsia"/>
          <w:sz w:val="24"/>
          <w:szCs w:val="24"/>
        </w:rPr>
        <w:t>（计算结果均四舍五入保留两位小数）</w:t>
      </w:r>
    </w:p>
    <w:bookmarkEnd w:id="46"/>
    <w:bookmarkEnd w:id="47"/>
    <w:bookmarkEnd w:id="51"/>
    <w:p w14:paraId="7B76C63A">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bookmarkStart w:id="52" w:name="_Toc3281_WPSOffice_Level1"/>
      <w:bookmarkStart w:id="53" w:name="_Toc30996_WPSOffice_Level1"/>
      <w:bookmarkStart w:id="54" w:name="_Toc3980"/>
    </w:p>
    <w:p w14:paraId="31756928">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619F0A8D">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089DC2CE">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7B6CD065">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46305B97">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316B1EC6">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75C4E3B9">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6A986DDE">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13846D4A">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51BAEB9E">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04B8590E">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4BD72FDB">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5133E102">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28C3F138">
      <w:pPr>
        <w:tabs>
          <w:tab w:val="left" w:pos="1050"/>
          <w:tab w:val="right" w:leader="dot" w:pos="9402"/>
        </w:tabs>
        <w:snapToGrid w:val="0"/>
        <w:spacing w:beforeLines="100"/>
        <w:jc w:val="center"/>
        <w:outlineLvl w:val="0"/>
        <w:rPr>
          <w:rFonts w:hint="eastAsia" w:asciiTheme="minorEastAsia" w:hAnsiTheme="minorEastAsia" w:eastAsiaTheme="minorEastAsia" w:cstheme="minorEastAsia"/>
          <w:b/>
          <w:w w:val="80"/>
          <w:sz w:val="24"/>
          <w:szCs w:val="24"/>
        </w:rPr>
      </w:pPr>
    </w:p>
    <w:p w14:paraId="62584E1E">
      <w:pPr>
        <w:tabs>
          <w:tab w:val="left" w:pos="1050"/>
          <w:tab w:val="right" w:leader="dot" w:pos="9402"/>
        </w:tabs>
        <w:snapToGrid w:val="0"/>
        <w:spacing w:beforeLines="100"/>
        <w:jc w:val="center"/>
        <w:outlineLvl w:val="0"/>
        <w:rPr>
          <w:rFonts w:asciiTheme="minorEastAsia" w:hAnsiTheme="minorEastAsia" w:eastAsiaTheme="minorEastAsia" w:cstheme="minorEastAsia"/>
          <w:b/>
          <w:w w:val="80"/>
          <w:sz w:val="24"/>
          <w:szCs w:val="24"/>
        </w:rPr>
      </w:pPr>
      <w:r>
        <w:rPr>
          <w:rFonts w:hint="eastAsia" w:asciiTheme="minorEastAsia" w:hAnsiTheme="minorEastAsia" w:eastAsiaTheme="minorEastAsia" w:cstheme="minorEastAsia"/>
          <w:b/>
          <w:w w:val="80"/>
          <w:sz w:val="24"/>
          <w:szCs w:val="24"/>
        </w:rPr>
        <w:t>第六章  响应文件组成</w:t>
      </w:r>
      <w:bookmarkEnd w:id="52"/>
      <w:bookmarkEnd w:id="53"/>
      <w:bookmarkEnd w:id="54"/>
    </w:p>
    <w:p w14:paraId="6DD8B1B2">
      <w:pPr>
        <w:snapToGrid w:val="0"/>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磋商响应文件由 ：</w:t>
      </w:r>
      <w:r>
        <w:rPr>
          <w:rFonts w:hint="eastAsia" w:ascii="仿宋" w:hAnsi="仿宋" w:eastAsia="仿宋"/>
          <w:sz w:val="24"/>
          <w:szCs w:val="24"/>
        </w:rPr>
        <w:t>①资格证明材料②商务技术响应材料和③价格响应材料三部分组成。</w:t>
      </w:r>
    </w:p>
    <w:p w14:paraId="3BBE522B">
      <w:pPr>
        <w:snapToGrid w:val="0"/>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资格后审材料（正本一份、副本二份，单独密封</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
          <w:sz w:val="24"/>
          <w:szCs w:val="24"/>
        </w:rPr>
        <w:t>：</w:t>
      </w:r>
    </w:p>
    <w:p w14:paraId="449250CC">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1.《营业执照》（副本）复印件（须加盖公章）；</w:t>
      </w:r>
    </w:p>
    <w:p w14:paraId="27E7BD65">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2.资质证书复印件（须加盖公章）。</w:t>
      </w:r>
    </w:p>
    <w:p w14:paraId="310CDC13">
      <w:pPr>
        <w:snapToGrid w:val="0"/>
        <w:ind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3.项目负责人的资格证书复印件（须加盖公章）。</w:t>
      </w:r>
    </w:p>
    <w:p w14:paraId="38742116">
      <w:pPr>
        <w:snapToGrid w:val="0"/>
        <w:ind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4.项目负责人社保部门出具的投标单位为其缴纳的2020年2月份—2020年4月份连续三个月的养老保险缴费证明材料。</w:t>
      </w:r>
    </w:p>
    <w:p w14:paraId="78C05E90">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为法定代表人参加磋商响应的，必须提供法定代表人身份证明及本人身份证这两项原件的复印件。非法定代表人参加磋商响应的，必须提供法定代表人签名或盖章的授权委托书、被委托授权人身份证原件的复印件（须加盖公章）。</w:t>
      </w:r>
    </w:p>
    <w:p w14:paraId="2900E248">
      <w:pPr>
        <w:snapToGrid w:val="0"/>
        <w:ind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6.参与本次项目政府采购活动前三年内在经营活动中没有重大违法记录的书面《无重大违法记录声明函》（须加盖公章）。</w:t>
      </w:r>
    </w:p>
    <w:p w14:paraId="3B8C0414">
      <w:pPr>
        <w:snapToGrid w:val="0"/>
        <w:ind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7.供应商一般情况表。</w:t>
      </w:r>
    </w:p>
    <w:p w14:paraId="6E4ABF0F">
      <w:pPr>
        <w:snapToGrid w:val="0"/>
        <w:ind w:left="478" w:leftChars="184"/>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sz w:val="24"/>
          <w:szCs w:val="24"/>
        </w:rPr>
        <w:t xml:space="preserve">商务技术响应材料（正本一份、副本二份。不得出现报价。单独密封）：                             </w:t>
      </w:r>
      <w:r>
        <w:rPr>
          <w:rFonts w:hint="eastAsia" w:asciiTheme="minorEastAsia" w:hAnsiTheme="minorEastAsia" w:eastAsiaTheme="minorEastAsia" w:cstheme="minorEastAsia"/>
          <w:kern w:val="0"/>
          <w:sz w:val="24"/>
          <w:szCs w:val="24"/>
        </w:rPr>
        <w:t>1.竞争性磋商响应函；</w:t>
      </w:r>
    </w:p>
    <w:p w14:paraId="7D53DA09">
      <w:pPr>
        <w:snapToGrid w:val="0"/>
        <w:ind w:firstLine="480" w:firstLineChars="20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2.技术条款响应正负偏离表：</w:t>
      </w:r>
    </w:p>
    <w:p w14:paraId="03AF673A">
      <w:pPr>
        <w:snapToGrid w:val="0"/>
        <w:ind w:firstLine="480" w:firstLineChars="20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（1）供应商必须满足磋商文件中针对产品设备提出的全部技术规格与要求，逐一逐条响应填写《技术条款响应正负偏离表》； </w:t>
      </w:r>
    </w:p>
    <w:p w14:paraId="3BD2BEA9">
      <w:pPr>
        <w:snapToGrid w:val="0"/>
        <w:ind w:firstLine="480" w:firstLineChars="200"/>
        <w:contextualSpacing/>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（2）供应商提供的货物和服务与采购人提出的项目需求说明中的技术要求不同，必须在逐一逐条填写响应的《技术条款响应正负偏离表》上明示偏离的部分。</w:t>
      </w:r>
    </w:p>
    <w:p w14:paraId="18931C52">
      <w:pPr>
        <w:snapToGrid w:val="0"/>
        <w:ind w:firstLine="482" w:firstLineChars="20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填制正负偏离表，完全响应的，请以空白表列示。不完全响应的，必须在偏离表中列示；列示不全的，视同故意隐瞒。</w:t>
      </w:r>
    </w:p>
    <w:p w14:paraId="4DA7C9DB">
      <w:pPr>
        <w:snapToGrid w:val="0"/>
        <w:contextualSpacing/>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lang w:val="zh-CN"/>
        </w:rPr>
        <w:t xml:space="preserve">    3.技术部分评标办法中要求提供的全部资料。</w:t>
      </w:r>
    </w:p>
    <w:p w14:paraId="4296AF5D">
      <w:pPr>
        <w:snapToGrid w:val="0"/>
        <w:ind w:left="485"/>
        <w:contextualSpacing/>
        <w:rPr>
          <w:rFonts w:asciiTheme="minorEastAsia" w:hAnsiTheme="minorEastAsia" w:eastAsiaTheme="minorEastAsia" w:cstheme="minorEastAsia"/>
          <w:kern w:val="0"/>
          <w:sz w:val="24"/>
          <w:szCs w:val="24"/>
          <w:lang w:val="zh-CN"/>
        </w:rPr>
      </w:pPr>
      <w:r>
        <w:rPr>
          <w:rFonts w:hint="eastAsia" w:asciiTheme="minorEastAsia" w:hAnsiTheme="minorEastAsia" w:eastAsiaTheme="minorEastAsia" w:cstheme="minorEastAsia"/>
          <w:kern w:val="0"/>
          <w:sz w:val="24"/>
          <w:szCs w:val="24"/>
        </w:rPr>
        <w:t>4.</w:t>
      </w:r>
      <w:r>
        <w:rPr>
          <w:rFonts w:hint="eastAsia" w:asciiTheme="minorEastAsia" w:hAnsiTheme="minorEastAsia" w:eastAsiaTheme="minorEastAsia" w:cstheme="minorEastAsia"/>
          <w:kern w:val="0"/>
          <w:sz w:val="24"/>
          <w:szCs w:val="24"/>
          <w:lang w:val="zh-CN"/>
        </w:rPr>
        <w:t>供应商认为需要提交的其他资料。</w:t>
      </w:r>
    </w:p>
    <w:p w14:paraId="3BB0152E">
      <w:pPr>
        <w:pStyle w:val="29"/>
        <w:snapToGrid w:val="0"/>
        <w:ind w:firstLine="482" w:firstLineChars="200"/>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b/>
          <w:szCs w:val="24"/>
        </w:rPr>
        <w:t>价格响应材料(正本一份、副本二份，单独密封，不得出现在技术商务响应文件部分)：</w:t>
      </w:r>
    </w:p>
    <w:p w14:paraId="0F4EF8D3">
      <w:pPr>
        <w:pStyle w:val="29"/>
        <w:snapToGrid w:val="0"/>
        <w:ind w:left="549"/>
        <w:contextualSpacing/>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1.磋商响应报价表；</w:t>
      </w:r>
    </w:p>
    <w:p w14:paraId="623023A2">
      <w:pPr>
        <w:pStyle w:val="29"/>
        <w:snapToGrid w:val="0"/>
        <w:contextualSpacing/>
        <w:rPr>
          <w:rFonts w:asciiTheme="minorEastAsia" w:hAnsiTheme="minorEastAsia" w:eastAsiaTheme="minorEastAsia" w:cstheme="minorEastAsia"/>
          <w:szCs w:val="24"/>
        </w:rPr>
      </w:pPr>
    </w:p>
    <w:p w14:paraId="0FDC321E">
      <w:pPr>
        <w:pStyle w:val="29"/>
        <w:snapToGrid w:val="0"/>
        <w:ind w:firstLine="470" w:firstLineChars="196"/>
        <w:contextualSpacing/>
        <w:rPr>
          <w:rFonts w:asciiTheme="minorEastAsia" w:hAnsiTheme="minorEastAsia" w:eastAsiaTheme="minorEastAsia" w:cstheme="minorEastAsia"/>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Cs w:val="24"/>
        </w:rPr>
        <w:t>为方便评委评审，请供应商按评标办法中所涉及的事项顺序进行编制，可以补充相关材料。</w:t>
      </w:r>
    </w:p>
    <w:p w14:paraId="4D085531">
      <w:pPr>
        <w:adjustRightInd w:val="0"/>
        <w:snapToGrid w:val="0"/>
        <w:jc w:val="lef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磋商响应文件封面范例</w:t>
      </w:r>
    </w:p>
    <w:p w14:paraId="0408AFF9">
      <w:pPr>
        <w:snapToGrid w:val="0"/>
        <w:jc w:val="center"/>
        <w:rPr>
          <w:rFonts w:asciiTheme="minorEastAsia" w:hAnsiTheme="minorEastAsia" w:eastAsiaTheme="minorEastAsia" w:cstheme="minorEastAsia"/>
          <w:w w:val="80"/>
          <w:kern w:val="44"/>
          <w:sz w:val="24"/>
          <w:szCs w:val="24"/>
        </w:rPr>
      </w:pPr>
    </w:p>
    <w:p w14:paraId="6865EACE">
      <w:pPr>
        <w:widowControl/>
        <w:snapToGrid w:val="0"/>
        <w:ind w:left="-520" w:leftChars="-200" w:right="-520" w:rightChars="-200"/>
        <w:jc w:val="center"/>
        <w:rPr>
          <w:rFonts w:asciiTheme="minorEastAsia" w:hAnsiTheme="minorEastAsia" w:eastAsiaTheme="minorEastAsia" w:cstheme="minorEastAsia"/>
          <w:b/>
          <w:w w:val="80"/>
          <w:sz w:val="24"/>
          <w:szCs w:val="24"/>
        </w:rPr>
      </w:pPr>
      <w:r>
        <w:rPr>
          <w:rFonts w:hint="eastAsia" w:asciiTheme="minorEastAsia" w:hAnsiTheme="minorEastAsia" w:eastAsiaTheme="minorEastAsia" w:cstheme="minorEastAsia"/>
          <w:b/>
          <w:w w:val="80"/>
          <w:sz w:val="24"/>
          <w:szCs w:val="24"/>
        </w:rPr>
        <w:t>南通师范高等专科学校主校区食堂改造项目设计项目</w:t>
      </w:r>
    </w:p>
    <w:p w14:paraId="7E6C2051">
      <w:pPr>
        <w:snapToGrid w:val="0"/>
        <w:jc w:val="center"/>
        <w:rPr>
          <w:rFonts w:asciiTheme="minorEastAsia" w:hAnsiTheme="minorEastAsia" w:eastAsiaTheme="minorEastAsia" w:cstheme="minorEastAsia"/>
          <w:w w:val="80"/>
          <w:kern w:val="44"/>
          <w:sz w:val="24"/>
          <w:szCs w:val="24"/>
        </w:rPr>
      </w:pPr>
    </w:p>
    <w:p w14:paraId="4F2BFF29">
      <w:pPr>
        <w:snapToGrid w:val="0"/>
        <w:jc w:val="center"/>
        <w:rPr>
          <w:rFonts w:asciiTheme="minorEastAsia" w:hAnsiTheme="minorEastAsia" w:eastAsiaTheme="minorEastAsia" w:cstheme="minorEastAsia"/>
          <w:sz w:val="24"/>
          <w:szCs w:val="24"/>
        </w:rPr>
      </w:pPr>
    </w:p>
    <w:p w14:paraId="3005053C">
      <w:pPr>
        <w:snapToGrid w:val="0"/>
        <w:jc w:val="center"/>
        <w:rPr>
          <w:rFonts w:asciiTheme="minorEastAsia" w:hAnsiTheme="minorEastAsia" w:eastAsiaTheme="minorEastAsia" w:cstheme="minorEastAsia"/>
          <w:sz w:val="24"/>
          <w:szCs w:val="24"/>
        </w:rPr>
      </w:pPr>
    </w:p>
    <w:p w14:paraId="1F3FCB86">
      <w:pPr>
        <w:snapToGrid w:val="0"/>
        <w:jc w:val="center"/>
        <w:rPr>
          <w:rFonts w:asciiTheme="minorEastAsia" w:hAnsiTheme="minorEastAsia" w:eastAsiaTheme="minorEastAsia" w:cstheme="minorEastAsia"/>
          <w:sz w:val="24"/>
          <w:szCs w:val="24"/>
        </w:rPr>
      </w:pPr>
    </w:p>
    <w:p w14:paraId="0A807E74">
      <w:pPr>
        <w:snapToGrid w:val="0"/>
        <w:jc w:val="center"/>
        <w:rPr>
          <w:rFonts w:asciiTheme="minorEastAsia" w:hAnsiTheme="minorEastAsia" w:eastAsiaTheme="minorEastAsia" w:cstheme="minorEastAsia"/>
          <w:sz w:val="24"/>
          <w:szCs w:val="24"/>
        </w:rPr>
      </w:pPr>
    </w:p>
    <w:p w14:paraId="3B65B14E">
      <w:pPr>
        <w:snapToGrid w:val="0"/>
        <w:jc w:val="center"/>
        <w:rPr>
          <w:rFonts w:asciiTheme="minorEastAsia" w:hAnsiTheme="minorEastAsia" w:eastAsiaTheme="minorEastAsia" w:cstheme="minorEastAsia"/>
          <w:sz w:val="24"/>
          <w:szCs w:val="24"/>
        </w:rPr>
      </w:pPr>
      <w:bookmarkStart w:id="55" w:name="_Toc9625_WPSOffice_Level1"/>
      <w:bookmarkStart w:id="56" w:name="_Toc8382_WPSOffice_Level1"/>
      <w:r>
        <w:rPr>
          <w:rFonts w:hint="eastAsia" w:asciiTheme="minorEastAsia" w:hAnsiTheme="minorEastAsia" w:eastAsiaTheme="minorEastAsia" w:cstheme="minorEastAsia"/>
          <w:b/>
          <w:bCs/>
          <w:sz w:val="24"/>
          <w:szCs w:val="24"/>
        </w:rPr>
        <w:t>竞争性磋商响应文件</w:t>
      </w:r>
      <w:bookmarkEnd w:id="55"/>
      <w:bookmarkEnd w:id="56"/>
    </w:p>
    <w:p w14:paraId="07B3D207">
      <w:pPr>
        <w:pStyle w:val="26"/>
        <w:snapToGrid w:val="0"/>
        <w:spacing w:before="156" w:line="240" w:lineRule="auto"/>
        <w:rPr>
          <w:rFonts w:asciiTheme="minorEastAsia" w:hAnsiTheme="minorEastAsia" w:eastAsiaTheme="minorEastAsia" w:cstheme="minorEastAsia"/>
          <w:szCs w:val="24"/>
        </w:rPr>
      </w:pPr>
    </w:p>
    <w:p w14:paraId="485406B4">
      <w:pPr>
        <w:snapToGrid w:val="0"/>
        <w:jc w:val="center"/>
        <w:rPr>
          <w:rFonts w:asciiTheme="minorEastAsia" w:hAnsiTheme="minorEastAsia" w:eastAsiaTheme="minorEastAsia" w:cstheme="minorEastAsia"/>
          <w:b/>
          <w:sz w:val="24"/>
          <w:szCs w:val="24"/>
        </w:rPr>
      </w:pPr>
    </w:p>
    <w:p w14:paraId="2643A50B">
      <w:pPr>
        <w:snapToGrid w:val="0"/>
        <w:ind w:firstLine="1920" w:firstLineChars="8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对应磋商响应文件，相应填写：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资格后审材料文件</w:t>
      </w:r>
    </w:p>
    <w:p w14:paraId="7A290155">
      <w:pPr>
        <w:snapToGrid w:val="0"/>
        <w:ind w:firstLine="5438" w:firstLineChars="226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商务技术响应文件</w:t>
      </w:r>
    </w:p>
    <w:p w14:paraId="7A397EC7">
      <w:pPr>
        <w:snapToGrid w:val="0"/>
        <w:ind w:firstLine="5438" w:firstLineChars="2266"/>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价格响应材料文件</w:t>
      </w:r>
    </w:p>
    <w:p w14:paraId="52650697">
      <w:pPr>
        <w:snapToGrid w:val="0"/>
        <w:ind w:firstLine="5438" w:firstLineChars="2266"/>
        <w:jc w:val="left"/>
        <w:rPr>
          <w:rFonts w:asciiTheme="minorEastAsia" w:hAnsiTheme="minorEastAsia" w:eastAsiaTheme="minorEastAsia" w:cstheme="minorEastAsia"/>
          <w:sz w:val="24"/>
          <w:szCs w:val="24"/>
        </w:rPr>
      </w:pPr>
    </w:p>
    <w:p w14:paraId="54DE3D89">
      <w:pPr>
        <w:snapToGrid w:val="0"/>
        <w:jc w:val="center"/>
        <w:rPr>
          <w:rFonts w:asciiTheme="minorEastAsia" w:hAnsiTheme="minorEastAsia" w:eastAsiaTheme="minorEastAsia" w:cstheme="minorEastAsia"/>
          <w:b/>
          <w:sz w:val="24"/>
          <w:szCs w:val="24"/>
        </w:rPr>
      </w:pPr>
      <w:bookmarkStart w:id="57" w:name="_Toc17868_WPSOffice_Level1"/>
      <w:bookmarkStart w:id="58" w:name="_Toc29956_WPSOffice_Level1"/>
      <w:r>
        <w:rPr>
          <w:rFonts w:hint="eastAsia" w:asciiTheme="minorEastAsia" w:hAnsiTheme="minorEastAsia" w:eastAsiaTheme="minorEastAsia" w:cstheme="minorEastAsia"/>
          <w:b/>
          <w:sz w:val="24"/>
          <w:szCs w:val="24"/>
        </w:rPr>
        <w:t>（资格后审）</w:t>
      </w:r>
      <w:bookmarkEnd w:id="57"/>
      <w:bookmarkEnd w:id="58"/>
    </w:p>
    <w:p w14:paraId="1C4246A8">
      <w:pPr>
        <w:adjustRightInd w:val="0"/>
        <w:snapToGrid w:val="0"/>
        <w:jc w:val="center"/>
        <w:rPr>
          <w:rFonts w:asciiTheme="minorEastAsia" w:hAnsiTheme="minorEastAsia" w:eastAsiaTheme="minorEastAsia" w:cstheme="minorEastAsia"/>
          <w:sz w:val="24"/>
          <w:szCs w:val="24"/>
        </w:rPr>
      </w:pPr>
    </w:p>
    <w:p w14:paraId="5848012B">
      <w:pPr>
        <w:adjustRightInd w:val="0"/>
        <w:snapToGrid w:val="0"/>
        <w:jc w:val="center"/>
        <w:rPr>
          <w:rFonts w:asciiTheme="minorEastAsia" w:hAnsiTheme="minorEastAsia" w:eastAsiaTheme="minorEastAsia" w:cstheme="minorEastAsia"/>
          <w:sz w:val="24"/>
          <w:szCs w:val="24"/>
        </w:rPr>
      </w:pPr>
    </w:p>
    <w:p w14:paraId="132C1597">
      <w:pPr>
        <w:adjustRightInd w:val="0"/>
        <w:snapToGrid w:val="0"/>
        <w:jc w:val="center"/>
        <w:rPr>
          <w:rFonts w:asciiTheme="minorEastAsia" w:hAnsiTheme="minorEastAsia" w:eastAsiaTheme="minorEastAsia" w:cstheme="minorEastAsia"/>
          <w:sz w:val="24"/>
          <w:szCs w:val="24"/>
        </w:rPr>
      </w:pPr>
    </w:p>
    <w:p w14:paraId="3588163E">
      <w:pPr>
        <w:adjustRightInd w:val="0"/>
        <w:snapToGrid w:val="0"/>
        <w:jc w:val="center"/>
        <w:rPr>
          <w:rFonts w:asciiTheme="minorEastAsia" w:hAnsiTheme="minorEastAsia" w:eastAsiaTheme="minorEastAsia" w:cstheme="minorEastAsia"/>
          <w:sz w:val="24"/>
          <w:szCs w:val="24"/>
        </w:rPr>
      </w:pPr>
    </w:p>
    <w:p w14:paraId="5FE442A4">
      <w:pPr>
        <w:adjustRightInd w:val="0"/>
        <w:snapToGrid w:val="0"/>
        <w:jc w:val="center"/>
        <w:rPr>
          <w:rFonts w:asciiTheme="minorEastAsia" w:hAnsiTheme="minorEastAsia" w:eastAsiaTheme="minorEastAsia" w:cstheme="minorEastAsia"/>
          <w:sz w:val="24"/>
          <w:szCs w:val="24"/>
        </w:rPr>
      </w:pPr>
    </w:p>
    <w:p w14:paraId="32F86C5B">
      <w:pPr>
        <w:adjustRightInd w:val="0"/>
        <w:snapToGrid w:val="0"/>
        <w:jc w:val="center"/>
        <w:rPr>
          <w:rFonts w:asciiTheme="minorEastAsia" w:hAnsiTheme="minorEastAsia" w:eastAsiaTheme="minorEastAsia" w:cstheme="minorEastAsia"/>
          <w:sz w:val="24"/>
          <w:szCs w:val="24"/>
        </w:rPr>
      </w:pPr>
    </w:p>
    <w:p w14:paraId="5DD74BD8">
      <w:pPr>
        <w:adjustRightInd w:val="0"/>
        <w:snapToGrid w:val="0"/>
        <w:rPr>
          <w:rFonts w:asciiTheme="minorEastAsia" w:hAnsiTheme="minorEastAsia" w:eastAsiaTheme="minorEastAsia" w:cstheme="minorEastAsia"/>
          <w:sz w:val="24"/>
          <w:szCs w:val="24"/>
        </w:rPr>
      </w:pPr>
    </w:p>
    <w:p w14:paraId="4F828F1B">
      <w:pPr>
        <w:adjustRightInd w:val="0"/>
        <w:snapToGrid w:val="0"/>
        <w:rPr>
          <w:rFonts w:asciiTheme="minorEastAsia" w:hAnsiTheme="minorEastAsia" w:eastAsiaTheme="minorEastAsia" w:cstheme="minorEastAsia"/>
          <w:sz w:val="24"/>
          <w:szCs w:val="24"/>
        </w:rPr>
      </w:pPr>
    </w:p>
    <w:p w14:paraId="3408E926">
      <w:pPr>
        <w:adjustRightInd w:val="0"/>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供应商：参加磋商响应单位全称</w:t>
      </w:r>
    </w:p>
    <w:p w14:paraId="7C1580F4">
      <w:pPr>
        <w:pStyle w:val="29"/>
        <w:snapToGrid w:val="0"/>
        <w:contextualSpacing/>
        <w:jc w:val="center"/>
        <w:rPr>
          <w:rFonts w:asciiTheme="minorEastAsia" w:hAnsiTheme="minorEastAsia" w:eastAsiaTheme="minorEastAsia" w:cstheme="minorEastAsia"/>
          <w:b/>
          <w:bCs/>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szCs w:val="24"/>
        </w:rPr>
        <w:t>二○二○年     月     日</w:t>
      </w:r>
    </w:p>
    <w:p w14:paraId="759762F2">
      <w:pPr>
        <w:adjustRightInd w:val="0"/>
        <w:snapToGrid w:val="0"/>
        <w:rPr>
          <w:rFonts w:asciiTheme="minorEastAsia" w:hAnsiTheme="minorEastAsia" w:eastAsiaTheme="minorEastAsia" w:cstheme="minorEastAsia"/>
          <w:b/>
          <w:bCs/>
          <w:sz w:val="24"/>
          <w:szCs w:val="24"/>
        </w:rPr>
      </w:pPr>
      <w:bookmarkStart w:id="59" w:name="_Toc11701_WPSOffice_Level1"/>
      <w:bookmarkStart w:id="60" w:name="_Toc2070_WPSOffice_Level1"/>
      <w:r>
        <w:rPr>
          <w:rFonts w:hint="eastAsia" w:asciiTheme="minorEastAsia" w:hAnsiTheme="minorEastAsia" w:eastAsiaTheme="minorEastAsia" w:cstheme="minorEastAsia"/>
          <w:b/>
          <w:bCs/>
          <w:sz w:val="24"/>
          <w:szCs w:val="24"/>
        </w:rPr>
        <w:t>附件一：</w:t>
      </w:r>
      <w:bookmarkEnd w:id="59"/>
      <w:bookmarkEnd w:id="60"/>
    </w:p>
    <w:p w14:paraId="57B857F8">
      <w:pPr>
        <w:pStyle w:val="14"/>
        <w:snapToGrid w:val="0"/>
        <w:ind w:firstLine="480"/>
        <w:rPr>
          <w:rFonts w:asciiTheme="minorEastAsia" w:hAnsiTheme="minorEastAsia" w:eastAsiaTheme="minorEastAsia" w:cstheme="minorEastAsia"/>
          <w:szCs w:val="24"/>
        </w:rPr>
      </w:pPr>
    </w:p>
    <w:tbl>
      <w:tblPr>
        <w:tblStyle w:val="15"/>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7243"/>
        <w:gridCol w:w="1130"/>
      </w:tblGrid>
      <w:tr w14:paraId="32C7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18" w:type="dxa"/>
            <w:vAlign w:val="center"/>
          </w:tcPr>
          <w:p w14:paraId="7BAA2DDD">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243" w:type="dxa"/>
            <w:vAlign w:val="center"/>
          </w:tcPr>
          <w:p w14:paraId="404582FF">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资格后审材料包 清单</w:t>
            </w:r>
          </w:p>
        </w:tc>
        <w:tc>
          <w:tcPr>
            <w:tcW w:w="1130" w:type="dxa"/>
            <w:vAlign w:val="center"/>
          </w:tcPr>
          <w:p w14:paraId="2E095765">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w:t>
            </w:r>
          </w:p>
          <w:p w14:paraId="7790791B">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w:t>
            </w:r>
          </w:p>
        </w:tc>
      </w:tr>
      <w:tr w14:paraId="1E08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18" w:type="dxa"/>
            <w:vAlign w:val="center"/>
          </w:tcPr>
          <w:p w14:paraId="0D9972C6">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243" w:type="dxa"/>
            <w:vAlign w:val="center"/>
          </w:tcPr>
          <w:p w14:paraId="34D901C6">
            <w:pPr>
              <w:snapToGrid w:val="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提供磋商响应供应商的《营业执照》（副本）及《税务登记证》（副本）（提供新版“三证合一”营业执照的除外）原件的复印件（须加盖公章）。</w:t>
            </w:r>
          </w:p>
        </w:tc>
        <w:tc>
          <w:tcPr>
            <w:tcW w:w="1130" w:type="dxa"/>
            <w:vAlign w:val="center"/>
          </w:tcPr>
          <w:p w14:paraId="6530A5D0">
            <w:pPr>
              <w:snapToGrid w:val="0"/>
              <w:jc w:val="center"/>
              <w:rPr>
                <w:rFonts w:asciiTheme="minorEastAsia" w:hAnsiTheme="minorEastAsia" w:eastAsiaTheme="minorEastAsia" w:cstheme="minorEastAsia"/>
                <w:sz w:val="24"/>
                <w:szCs w:val="24"/>
              </w:rPr>
            </w:pPr>
          </w:p>
        </w:tc>
      </w:tr>
      <w:tr w14:paraId="2B38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18" w:type="dxa"/>
            <w:vAlign w:val="center"/>
          </w:tcPr>
          <w:p w14:paraId="576BBB2C">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243" w:type="dxa"/>
            <w:vAlign w:val="center"/>
          </w:tcPr>
          <w:p w14:paraId="16DF75A0">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提供磋商响应供应商的资质证书原件的复印件（须加盖公章）。</w:t>
            </w:r>
          </w:p>
        </w:tc>
        <w:tc>
          <w:tcPr>
            <w:tcW w:w="1130" w:type="dxa"/>
            <w:vAlign w:val="center"/>
          </w:tcPr>
          <w:p w14:paraId="527135C7">
            <w:pPr>
              <w:snapToGrid w:val="0"/>
              <w:jc w:val="center"/>
              <w:rPr>
                <w:rFonts w:asciiTheme="minorEastAsia" w:hAnsiTheme="minorEastAsia" w:eastAsiaTheme="minorEastAsia" w:cstheme="minorEastAsia"/>
                <w:sz w:val="24"/>
                <w:szCs w:val="24"/>
              </w:rPr>
            </w:pPr>
          </w:p>
        </w:tc>
      </w:tr>
      <w:tr w14:paraId="1F31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18" w:type="dxa"/>
            <w:vAlign w:val="center"/>
          </w:tcPr>
          <w:p w14:paraId="3DF59FC8">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243" w:type="dxa"/>
            <w:vAlign w:val="center"/>
          </w:tcPr>
          <w:p w14:paraId="48E684C4">
            <w:pPr>
              <w:snapToGrid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项目负责人的资格证书复印件（须加盖公章）。</w:t>
            </w:r>
          </w:p>
        </w:tc>
        <w:tc>
          <w:tcPr>
            <w:tcW w:w="1130" w:type="dxa"/>
            <w:vAlign w:val="center"/>
          </w:tcPr>
          <w:p w14:paraId="1D605FDA">
            <w:pPr>
              <w:snapToGrid w:val="0"/>
              <w:jc w:val="center"/>
              <w:rPr>
                <w:rFonts w:asciiTheme="minorEastAsia" w:hAnsiTheme="minorEastAsia" w:eastAsiaTheme="minorEastAsia" w:cstheme="minorEastAsia"/>
                <w:sz w:val="24"/>
                <w:szCs w:val="24"/>
              </w:rPr>
            </w:pPr>
          </w:p>
        </w:tc>
      </w:tr>
      <w:tr w14:paraId="530F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18" w:type="dxa"/>
            <w:vAlign w:val="center"/>
          </w:tcPr>
          <w:p w14:paraId="04A8CE75">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243" w:type="dxa"/>
            <w:vAlign w:val="center"/>
          </w:tcPr>
          <w:p w14:paraId="4F0FEE08">
            <w:pPr>
              <w:snapToGrid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提供项目负责人社保部门出具的投标单位为其缴纳的2020年2月份—2020年4月份连续三个月的养老保险缴费证明材料。</w:t>
            </w:r>
          </w:p>
        </w:tc>
        <w:tc>
          <w:tcPr>
            <w:tcW w:w="1130" w:type="dxa"/>
            <w:vAlign w:val="center"/>
          </w:tcPr>
          <w:p w14:paraId="38231C22">
            <w:pPr>
              <w:snapToGrid w:val="0"/>
              <w:jc w:val="center"/>
              <w:rPr>
                <w:rFonts w:asciiTheme="minorEastAsia" w:hAnsiTheme="minorEastAsia" w:eastAsiaTheme="minorEastAsia" w:cstheme="minorEastAsia"/>
                <w:sz w:val="24"/>
                <w:szCs w:val="24"/>
              </w:rPr>
            </w:pPr>
          </w:p>
        </w:tc>
      </w:tr>
      <w:tr w14:paraId="2CDA9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18" w:type="dxa"/>
            <w:vAlign w:val="center"/>
          </w:tcPr>
          <w:p w14:paraId="2EF5F944">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243" w:type="dxa"/>
            <w:vAlign w:val="center"/>
          </w:tcPr>
          <w:p w14:paraId="7DF650F6">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为法定代表人参加磋商响应的，必须提供法定代表人身份证明及本人身份证这两项原件的复印件。非法定代表人参加磋商响应的，必须提供法定代表人签名或盖章的授权委托书、被委托授权人身份证（须加盖公章）。</w:t>
            </w:r>
          </w:p>
        </w:tc>
        <w:tc>
          <w:tcPr>
            <w:tcW w:w="1130" w:type="dxa"/>
            <w:vAlign w:val="center"/>
          </w:tcPr>
          <w:p w14:paraId="12E26341">
            <w:pPr>
              <w:snapToGrid w:val="0"/>
              <w:jc w:val="center"/>
              <w:rPr>
                <w:rFonts w:asciiTheme="minorEastAsia" w:hAnsiTheme="minorEastAsia" w:eastAsiaTheme="minorEastAsia" w:cstheme="minorEastAsia"/>
                <w:sz w:val="24"/>
                <w:szCs w:val="24"/>
              </w:rPr>
            </w:pPr>
          </w:p>
        </w:tc>
      </w:tr>
      <w:tr w14:paraId="0FA3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18" w:type="dxa"/>
            <w:vAlign w:val="center"/>
          </w:tcPr>
          <w:p w14:paraId="6627FADE">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7243" w:type="dxa"/>
            <w:vAlign w:val="center"/>
          </w:tcPr>
          <w:p w14:paraId="1D5DFD81">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供应商须提供参与本次项目政府采购活动前三年内在经营活动中没有重大违法记录的书面《无重大违法记录声明函》（须加盖公章）。</w:t>
            </w:r>
          </w:p>
        </w:tc>
        <w:tc>
          <w:tcPr>
            <w:tcW w:w="1130" w:type="dxa"/>
            <w:vAlign w:val="center"/>
          </w:tcPr>
          <w:p w14:paraId="74093E7A">
            <w:pPr>
              <w:snapToGrid w:val="0"/>
              <w:jc w:val="center"/>
              <w:rPr>
                <w:rFonts w:asciiTheme="minorEastAsia" w:hAnsiTheme="minorEastAsia" w:eastAsiaTheme="minorEastAsia" w:cstheme="minorEastAsia"/>
                <w:sz w:val="24"/>
                <w:szCs w:val="24"/>
              </w:rPr>
            </w:pPr>
          </w:p>
        </w:tc>
      </w:tr>
      <w:tr w14:paraId="7A085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18" w:type="dxa"/>
            <w:vAlign w:val="center"/>
          </w:tcPr>
          <w:p w14:paraId="35FD7E28">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7243" w:type="dxa"/>
            <w:vAlign w:val="center"/>
          </w:tcPr>
          <w:p w14:paraId="1550FC69">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供应商须提供本磋商文件其他文件</w:t>
            </w:r>
          </w:p>
        </w:tc>
        <w:tc>
          <w:tcPr>
            <w:tcW w:w="1130" w:type="dxa"/>
            <w:vAlign w:val="center"/>
          </w:tcPr>
          <w:p w14:paraId="3A793015">
            <w:pPr>
              <w:pStyle w:val="4"/>
              <w:snapToGrid w:val="0"/>
              <w:rPr>
                <w:rFonts w:asciiTheme="minorEastAsia" w:hAnsiTheme="minorEastAsia" w:eastAsiaTheme="minorEastAsia" w:cstheme="minorEastAsia"/>
                <w:sz w:val="24"/>
                <w:szCs w:val="24"/>
              </w:rPr>
            </w:pPr>
          </w:p>
        </w:tc>
      </w:tr>
    </w:tbl>
    <w:p w14:paraId="4F13381B">
      <w:pPr>
        <w:snapToGrid w:val="0"/>
        <w:rPr>
          <w:rFonts w:asciiTheme="minorEastAsia" w:hAnsiTheme="minorEastAsia" w:eastAsiaTheme="minorEastAsia" w:cstheme="minorEastAsia"/>
          <w:sz w:val="24"/>
          <w:szCs w:val="24"/>
        </w:rPr>
      </w:pPr>
    </w:p>
    <w:p w14:paraId="0EFE537C">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法定代表人或被委托授权人签字：</w:t>
      </w:r>
    </w:p>
    <w:p w14:paraId="0D56F98A">
      <w:pPr>
        <w:adjustRightInd w:val="0"/>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（加盖供应商公章）</w:t>
      </w:r>
    </w:p>
    <w:p w14:paraId="5A5E1D87">
      <w:pPr>
        <w:adjustRightInd w:val="0"/>
        <w:snapToGrid w:val="0"/>
        <w:ind w:firstLine="6000" w:firstLineChars="25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5E332171">
      <w:pPr>
        <w:pStyle w:val="29"/>
        <w:snapToGrid w:val="0"/>
        <w:contextualSpacing/>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注：</w:t>
      </w:r>
    </w:p>
    <w:p w14:paraId="4651072B">
      <w:pPr>
        <w:pStyle w:val="29"/>
        <w:snapToGrid w:val="0"/>
        <w:ind w:firstLine="482" w:firstLineChars="200"/>
        <w:contextualSpacing/>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（1）以上由供应商填写，作为提供的资格后审材料包内的材料首页清单目录。</w:t>
      </w:r>
    </w:p>
    <w:p w14:paraId="740C0F31">
      <w:pPr>
        <w:pStyle w:val="29"/>
        <w:snapToGrid w:val="0"/>
        <w:ind w:firstLine="482" w:firstLineChars="200"/>
        <w:contextualSpacing/>
        <w:rPr>
          <w:rFonts w:asciiTheme="minorEastAsia" w:hAnsiTheme="minorEastAsia" w:eastAsiaTheme="minorEastAsia" w:cstheme="minorEastAsia"/>
          <w:b/>
          <w:bCs/>
          <w:szCs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inorEastAsia"/>
          <w:b/>
          <w:bCs/>
          <w:szCs w:val="24"/>
        </w:rPr>
        <w:t>（2）所有资格证明复印件、相关的格式文件及表格，须加盖公章装订成册，正本1份副本2份，供审查及留存。</w:t>
      </w:r>
    </w:p>
    <w:p w14:paraId="0D9074C6">
      <w:pPr>
        <w:pStyle w:val="29"/>
        <w:snapToGrid w:val="0"/>
        <w:contextualSpacing/>
        <w:rPr>
          <w:rFonts w:asciiTheme="minorEastAsia" w:hAnsiTheme="minorEastAsia" w:eastAsiaTheme="minorEastAsia" w:cstheme="minorEastAsia"/>
          <w:szCs w:val="24"/>
        </w:rPr>
      </w:pPr>
      <w:bookmarkStart w:id="61" w:name="_Toc20568_WPSOffice_Level1"/>
      <w:bookmarkStart w:id="62" w:name="_Toc22365_WPSOffice_Level1"/>
      <w:r>
        <w:rPr>
          <w:rFonts w:hint="eastAsia" w:asciiTheme="minorEastAsia" w:hAnsiTheme="minorEastAsia" w:eastAsiaTheme="minorEastAsia" w:cstheme="minorEastAsia"/>
          <w:b/>
          <w:bCs/>
          <w:szCs w:val="24"/>
        </w:rPr>
        <w:t>附件二：</w:t>
      </w:r>
      <w:bookmarkEnd w:id="61"/>
      <w:bookmarkEnd w:id="62"/>
    </w:p>
    <w:p w14:paraId="479A4F76">
      <w:pPr>
        <w:pStyle w:val="28"/>
        <w:snapToGrid w:val="0"/>
        <w:spacing w:line="240" w:lineRule="auto"/>
        <w:ind w:firstLine="0" w:firstLineChars="0"/>
        <w:contextualSpacing/>
        <w:jc w:val="center"/>
        <w:rPr>
          <w:rFonts w:asciiTheme="minorEastAsia" w:hAnsiTheme="minorEastAsia" w:eastAsiaTheme="minorEastAsia" w:cstheme="minorEastAsia"/>
          <w:b/>
          <w:sz w:val="24"/>
          <w:szCs w:val="24"/>
        </w:rPr>
      </w:pPr>
    </w:p>
    <w:p w14:paraId="1B9B57A9">
      <w:pPr>
        <w:pStyle w:val="28"/>
        <w:snapToGrid w:val="0"/>
        <w:spacing w:line="240" w:lineRule="auto"/>
        <w:ind w:firstLine="0" w:firstLineChars="0"/>
        <w:contextualSpacing/>
        <w:jc w:val="center"/>
        <w:rPr>
          <w:rFonts w:asciiTheme="minorEastAsia" w:hAnsiTheme="minorEastAsia" w:eastAsiaTheme="minorEastAsia" w:cstheme="minorEastAsia"/>
          <w:b/>
          <w:sz w:val="24"/>
          <w:szCs w:val="24"/>
        </w:rPr>
      </w:pPr>
    </w:p>
    <w:p w14:paraId="106EFF5D">
      <w:pPr>
        <w:pStyle w:val="28"/>
        <w:snapToGrid w:val="0"/>
        <w:spacing w:line="240" w:lineRule="auto"/>
        <w:ind w:firstLine="0" w:firstLineChars="0"/>
        <w:contextualSpacing/>
        <w:jc w:val="center"/>
        <w:rPr>
          <w:rFonts w:asciiTheme="minorEastAsia" w:hAnsiTheme="minorEastAsia" w:eastAsiaTheme="minorEastAsia" w:cstheme="minorEastAsia"/>
          <w:b/>
          <w:sz w:val="24"/>
          <w:szCs w:val="24"/>
        </w:rPr>
      </w:pPr>
      <w:bookmarkStart w:id="63" w:name="_Toc24941_WPSOffice_Level1"/>
      <w:r>
        <w:rPr>
          <w:rFonts w:hint="eastAsia" w:asciiTheme="minorEastAsia" w:hAnsiTheme="minorEastAsia" w:eastAsiaTheme="minorEastAsia" w:cstheme="minorEastAsia"/>
          <w:b/>
          <w:sz w:val="24"/>
          <w:szCs w:val="24"/>
        </w:rPr>
        <w:t>法定代表人身份证明书</w:t>
      </w:r>
      <w:bookmarkEnd w:id="63"/>
    </w:p>
    <w:p w14:paraId="3398D783">
      <w:pPr>
        <w:snapToGrid w:val="0"/>
        <w:ind w:firstLine="480" w:firstLineChars="200"/>
        <w:contextualSpacing/>
        <w:rPr>
          <w:rFonts w:asciiTheme="minorEastAsia" w:hAnsiTheme="minorEastAsia" w:eastAsiaTheme="minorEastAsia" w:cstheme="minorEastAsia"/>
          <w:sz w:val="24"/>
          <w:szCs w:val="24"/>
        </w:rPr>
      </w:pPr>
    </w:p>
    <w:p w14:paraId="5418070A">
      <w:pPr>
        <w:snapToGrid w:val="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val="zh-CN"/>
        </w:rPr>
        <w:t>：</w:t>
      </w:r>
    </w:p>
    <w:p w14:paraId="77447596">
      <w:pPr>
        <w:snapToGrid w:val="0"/>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）先生／女士，现任我单位（</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）职务，为本单位法定代表人，特此证明。</w:t>
      </w:r>
    </w:p>
    <w:p w14:paraId="65BF9375">
      <w:pPr>
        <w:snapToGrid w:val="0"/>
        <w:ind w:firstLine="480" w:firstLineChars="200"/>
        <w:contextualSpacing/>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AD39CF7">
      <w:pPr>
        <w:snapToGrid w:val="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须提供法定代表人的身份证复印件盖公章</w:t>
      </w:r>
    </w:p>
    <w:p w14:paraId="3A010912">
      <w:pPr>
        <w:snapToGrid w:val="0"/>
        <w:ind w:firstLine="4440" w:firstLineChars="1850"/>
        <w:contextualSpacing/>
        <w:rPr>
          <w:rFonts w:asciiTheme="minorEastAsia" w:hAnsiTheme="minorEastAsia" w:eastAsiaTheme="minorEastAsia" w:cstheme="minorEastAsia"/>
          <w:sz w:val="24"/>
          <w:szCs w:val="24"/>
        </w:rPr>
      </w:pPr>
    </w:p>
    <w:p w14:paraId="5B1C3662">
      <w:pPr>
        <w:snapToGrid w:val="0"/>
        <w:ind w:firstLine="4440" w:firstLineChars="1850"/>
        <w:contextualSpacing/>
        <w:rPr>
          <w:rFonts w:asciiTheme="minorEastAsia" w:hAnsiTheme="minorEastAsia" w:eastAsiaTheme="minorEastAsia" w:cstheme="minorEastAsia"/>
          <w:sz w:val="24"/>
          <w:szCs w:val="24"/>
        </w:rPr>
      </w:pPr>
    </w:p>
    <w:p w14:paraId="0DE51AFE">
      <w:pPr>
        <w:snapToGrid w:val="0"/>
        <w:ind w:firstLine="4440" w:firstLineChars="1850"/>
        <w:contextualSpacing/>
        <w:rPr>
          <w:rFonts w:asciiTheme="minorEastAsia" w:hAnsiTheme="minorEastAsia" w:eastAsiaTheme="minorEastAsia" w:cstheme="minorEastAsia"/>
          <w:sz w:val="24"/>
          <w:szCs w:val="24"/>
        </w:rPr>
      </w:pPr>
    </w:p>
    <w:p w14:paraId="200C9469">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（粘贴此处）</w:t>
      </w:r>
    </w:p>
    <w:p w14:paraId="2F901A4D">
      <w:pPr>
        <w:pStyle w:val="2"/>
        <w:ind w:firstLine="480"/>
        <w:rPr>
          <w:rFonts w:asciiTheme="minorEastAsia" w:hAnsiTheme="minorEastAsia" w:eastAsiaTheme="minorEastAsia" w:cstheme="minorEastAsia"/>
          <w:sz w:val="24"/>
          <w:szCs w:val="24"/>
        </w:rPr>
      </w:pPr>
    </w:p>
    <w:p w14:paraId="58284F21">
      <w:pPr>
        <w:pStyle w:val="2"/>
        <w:ind w:firstLine="480"/>
        <w:rPr>
          <w:rFonts w:asciiTheme="minorEastAsia" w:hAnsiTheme="minorEastAsia" w:eastAsiaTheme="minorEastAsia" w:cstheme="minorEastAsia"/>
          <w:sz w:val="24"/>
          <w:szCs w:val="24"/>
        </w:rPr>
      </w:pPr>
    </w:p>
    <w:p w14:paraId="05819935">
      <w:pPr>
        <w:pStyle w:val="2"/>
        <w:ind w:firstLine="480"/>
        <w:rPr>
          <w:rFonts w:asciiTheme="minorEastAsia" w:hAnsiTheme="minorEastAsia" w:eastAsiaTheme="minorEastAsia" w:cstheme="minorEastAsia"/>
          <w:sz w:val="24"/>
          <w:szCs w:val="24"/>
        </w:rPr>
      </w:pPr>
    </w:p>
    <w:p w14:paraId="052A12BF">
      <w:pPr>
        <w:snapToGrid w:val="0"/>
        <w:jc w:val="center"/>
        <w:rPr>
          <w:rFonts w:asciiTheme="minorEastAsia" w:hAnsiTheme="minorEastAsia" w:eastAsiaTheme="minorEastAsia" w:cstheme="minorEastAsia"/>
          <w:sz w:val="24"/>
          <w:szCs w:val="24"/>
        </w:rPr>
      </w:pPr>
    </w:p>
    <w:p w14:paraId="001ED64A">
      <w:pPr>
        <w:snapToGrid w:val="0"/>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注:如</w:t>
      </w:r>
      <w:r>
        <w:rPr>
          <w:rFonts w:hint="eastAsia" w:asciiTheme="minorEastAsia" w:hAnsiTheme="minorEastAsia" w:eastAsiaTheme="minorEastAsia" w:cstheme="minorEastAsia"/>
          <w:b/>
          <w:sz w:val="24"/>
          <w:szCs w:val="24"/>
        </w:rPr>
        <w:t>法定代表人</w:t>
      </w:r>
      <w:r>
        <w:rPr>
          <w:rFonts w:hint="eastAsia" w:asciiTheme="minorEastAsia" w:hAnsiTheme="minorEastAsia" w:eastAsiaTheme="minorEastAsia" w:cstheme="minorEastAsia"/>
          <w:b/>
          <w:bCs/>
          <w:sz w:val="24"/>
          <w:szCs w:val="24"/>
        </w:rPr>
        <w:t>参加磋商须将身份证原件带至开标现场备查。</w:t>
      </w:r>
    </w:p>
    <w:p w14:paraId="4E378AC6">
      <w:pPr>
        <w:snapToGrid w:val="0"/>
        <w:ind w:firstLine="4440" w:firstLineChars="1850"/>
        <w:contextualSpacing/>
        <w:rPr>
          <w:rFonts w:asciiTheme="minorEastAsia" w:hAnsiTheme="minorEastAsia" w:eastAsiaTheme="minorEastAsia" w:cstheme="minorEastAsia"/>
          <w:sz w:val="24"/>
          <w:szCs w:val="24"/>
        </w:rPr>
      </w:pPr>
    </w:p>
    <w:p w14:paraId="635425B9">
      <w:pPr>
        <w:snapToGrid w:val="0"/>
        <w:ind w:firstLine="4440" w:firstLineChars="1850"/>
        <w:contextualSpacing/>
        <w:rPr>
          <w:rFonts w:asciiTheme="minorEastAsia" w:hAnsiTheme="minorEastAsia" w:eastAsiaTheme="minorEastAsia" w:cstheme="minorEastAsia"/>
          <w:sz w:val="24"/>
          <w:szCs w:val="24"/>
        </w:rPr>
      </w:pPr>
    </w:p>
    <w:p w14:paraId="0E8C17B9">
      <w:pPr>
        <w:snapToGrid w:val="0"/>
        <w:ind w:firstLine="4440" w:firstLineChars="185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14:paraId="168955F0">
      <w:pPr>
        <w:snapToGrid w:val="0"/>
        <w:contextualSpacing/>
        <w:rPr>
          <w:rFonts w:asciiTheme="minorEastAsia" w:hAnsiTheme="minorEastAsia" w:eastAsiaTheme="minorEastAsia" w:cstheme="minorEastAsia"/>
          <w:sz w:val="24"/>
          <w:szCs w:val="24"/>
        </w:rPr>
      </w:pPr>
    </w:p>
    <w:p w14:paraId="1BC894BB">
      <w:pPr>
        <w:pStyle w:val="26"/>
        <w:snapToGrid w:val="0"/>
        <w:spacing w:before="156" w:line="240" w:lineRule="auto"/>
        <w:ind w:firstLine="3554" w:firstLineChars="1481"/>
        <w:jc w:val="right"/>
        <w:rPr>
          <w:rFonts w:asciiTheme="minorEastAsia" w:hAnsiTheme="minorEastAsia" w:eastAsiaTheme="minorEastAsia" w:cstheme="minorEastAsia"/>
          <w:bCs/>
          <w:szCs w:val="24"/>
        </w:rPr>
      </w:pPr>
      <w:r>
        <w:rPr>
          <w:rFonts w:hint="eastAsia" w:asciiTheme="minorEastAsia" w:hAnsiTheme="minorEastAsia" w:eastAsiaTheme="minorEastAsia" w:cstheme="minorEastAsia"/>
          <w:bCs/>
          <w:szCs w:val="24"/>
        </w:rPr>
        <w:t>年    月    日</w:t>
      </w:r>
    </w:p>
    <w:p w14:paraId="7AD77F01">
      <w:pPr>
        <w:pStyle w:val="26"/>
        <w:snapToGrid w:val="0"/>
        <w:spacing w:before="156" w:line="240" w:lineRule="auto"/>
        <w:ind w:firstLine="3554" w:firstLineChars="1481"/>
        <w:rPr>
          <w:rFonts w:asciiTheme="minorEastAsia" w:hAnsiTheme="minorEastAsia" w:eastAsiaTheme="minorEastAsia" w:cstheme="minorEastAsia"/>
          <w:bCs/>
          <w:szCs w:val="24"/>
        </w:rPr>
      </w:pPr>
    </w:p>
    <w:p w14:paraId="29B43F2C">
      <w:pPr>
        <w:pStyle w:val="26"/>
        <w:snapToGrid w:val="0"/>
        <w:spacing w:before="156" w:line="240" w:lineRule="auto"/>
        <w:ind w:firstLine="3554" w:firstLineChars="1481"/>
        <w:rPr>
          <w:rFonts w:asciiTheme="minorEastAsia" w:hAnsiTheme="minorEastAsia" w:eastAsiaTheme="minorEastAsia" w:cstheme="minorEastAsia"/>
          <w:bCs/>
          <w:szCs w:val="24"/>
        </w:rPr>
      </w:pPr>
    </w:p>
    <w:p w14:paraId="158E82DF">
      <w:pPr>
        <w:pStyle w:val="26"/>
        <w:snapToGrid w:val="0"/>
        <w:spacing w:before="156" w:line="240" w:lineRule="auto"/>
        <w:ind w:firstLine="3554" w:firstLineChars="1481"/>
        <w:jc w:val="right"/>
        <w:rPr>
          <w:rFonts w:asciiTheme="minorEastAsia" w:hAnsiTheme="minorEastAsia" w:eastAsiaTheme="minorEastAsia" w:cstheme="minorEastAsia"/>
          <w:szCs w:val="24"/>
        </w:rPr>
        <w:sectPr>
          <w:pgSz w:w="11906" w:h="16838"/>
          <w:pgMar w:top="1440" w:right="1800" w:bottom="1440" w:left="1800" w:header="851" w:footer="992" w:gutter="0"/>
          <w:cols w:space="425" w:num="1"/>
          <w:docGrid w:type="lines" w:linePitch="312" w:charSpace="0"/>
        </w:sectPr>
      </w:pPr>
    </w:p>
    <w:p w14:paraId="42CE1077">
      <w:pPr>
        <w:pStyle w:val="29"/>
        <w:snapToGrid w:val="0"/>
        <w:contextualSpacing/>
        <w:jc w:val="both"/>
        <w:rPr>
          <w:rFonts w:asciiTheme="minorEastAsia" w:hAnsiTheme="minorEastAsia" w:eastAsiaTheme="minorEastAsia" w:cstheme="minorEastAsia"/>
          <w:szCs w:val="24"/>
        </w:rPr>
      </w:pPr>
      <w:bookmarkStart w:id="64" w:name="_Toc2111_WPSOffice_Level1"/>
      <w:bookmarkStart w:id="65" w:name="_Toc18746_WPSOffice_Level1"/>
      <w:r>
        <w:rPr>
          <w:rFonts w:hint="eastAsia" w:asciiTheme="minorEastAsia" w:hAnsiTheme="minorEastAsia" w:eastAsiaTheme="minorEastAsia" w:cstheme="minorEastAsia"/>
          <w:b/>
          <w:bCs/>
          <w:szCs w:val="24"/>
        </w:rPr>
        <w:t>附件三：</w:t>
      </w:r>
      <w:bookmarkEnd w:id="64"/>
      <w:bookmarkEnd w:id="65"/>
    </w:p>
    <w:p w14:paraId="6E1AD5F7">
      <w:pPr>
        <w:pStyle w:val="28"/>
        <w:snapToGrid w:val="0"/>
        <w:spacing w:line="240" w:lineRule="auto"/>
        <w:ind w:firstLine="0" w:firstLineChars="0"/>
        <w:contextualSpacing/>
        <w:jc w:val="center"/>
        <w:rPr>
          <w:rFonts w:asciiTheme="minorEastAsia" w:hAnsiTheme="minorEastAsia" w:eastAsiaTheme="minorEastAsia" w:cstheme="minorEastAsia"/>
          <w:b/>
          <w:sz w:val="24"/>
          <w:szCs w:val="24"/>
        </w:rPr>
      </w:pPr>
      <w:bookmarkStart w:id="66" w:name="_Toc3429_WPSOffice_Level1"/>
      <w:r>
        <w:rPr>
          <w:rFonts w:hint="eastAsia" w:asciiTheme="minorEastAsia" w:hAnsiTheme="minorEastAsia" w:eastAsiaTheme="minorEastAsia" w:cstheme="minorEastAsia"/>
          <w:b/>
          <w:sz w:val="24"/>
          <w:szCs w:val="24"/>
        </w:rPr>
        <w:t>法定代表人授权委托书</w:t>
      </w:r>
      <w:bookmarkEnd w:id="66"/>
    </w:p>
    <w:p w14:paraId="37ACF9B7">
      <w:pPr>
        <w:snapToGrid w:val="0"/>
        <w:ind w:firstLine="590" w:firstLineChars="245"/>
        <w:contextualSpacing/>
        <w:jc w:val="center"/>
        <w:rPr>
          <w:rFonts w:asciiTheme="minorEastAsia" w:hAnsiTheme="minorEastAsia" w:eastAsiaTheme="minorEastAsia" w:cstheme="minorEastAsia"/>
          <w:b/>
          <w:bCs/>
          <w:sz w:val="24"/>
          <w:szCs w:val="24"/>
        </w:rPr>
      </w:pPr>
    </w:p>
    <w:p w14:paraId="4371A40B">
      <w:pPr>
        <w:snapToGrid w:val="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val="zh-CN"/>
        </w:rPr>
        <w:t>：</w:t>
      </w:r>
    </w:p>
    <w:p w14:paraId="250E313B">
      <w:pPr>
        <w:pStyle w:val="7"/>
        <w:snapToGrid w:val="0"/>
        <w:ind w:firstLine="42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本授权委托书声明：我</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（姓名）系</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（供应商名称）的法定代表人，现授权委托</w:t>
      </w:r>
      <w:r>
        <w:rPr>
          <w:rFonts w:hint="eastAsia" w:asciiTheme="minorEastAsia" w:hAnsiTheme="minorEastAsia" w:eastAsiaTheme="minorEastAsia" w:cstheme="minorEastAsia"/>
          <w:sz w:val="24"/>
          <w:szCs w:val="24"/>
          <w:u w:val="single"/>
        </w:rPr>
        <w:t>　　   （</w:t>
      </w:r>
      <w:r>
        <w:rPr>
          <w:rFonts w:hint="eastAsia" w:asciiTheme="minorEastAsia" w:hAnsiTheme="minorEastAsia" w:eastAsiaTheme="minorEastAsia" w:cstheme="minorEastAsia"/>
          <w:sz w:val="24"/>
          <w:szCs w:val="24"/>
        </w:rPr>
        <w:t>姓名）为我公司代理人，以本公司的名义参加本项目的磋商活动。代理人在开标、评标、合同磋商过程中所签署的一切文件和处理与之有关的一切事务，我均予以承认。</w:t>
      </w:r>
    </w:p>
    <w:p w14:paraId="2CCCBE5D">
      <w:pPr>
        <w:pStyle w:val="7"/>
        <w:snapToGrid w:val="0"/>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被委托授权人无转委权。特此委托。</w:t>
      </w:r>
    </w:p>
    <w:p w14:paraId="242BED9B">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附：授权代表情况</w:t>
      </w:r>
    </w:p>
    <w:p w14:paraId="126581FC">
      <w:pPr>
        <w:snapToGrid w:val="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姓名：性别：年龄：职务：</w:t>
      </w:r>
    </w:p>
    <w:p w14:paraId="6675C6C6">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身份证号码：</w:t>
      </w:r>
    </w:p>
    <w:p w14:paraId="468F5C91">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手机：传真：</w:t>
      </w:r>
    </w:p>
    <w:p w14:paraId="1E832BC2">
      <w:pPr>
        <w:snapToGrid w:val="0"/>
        <w:contextualSpacing/>
        <w:rPr>
          <w:rFonts w:asciiTheme="minorEastAsia" w:hAnsiTheme="minorEastAsia" w:eastAsiaTheme="minorEastAsia" w:cstheme="minorEastAsia"/>
          <w:sz w:val="24"/>
          <w:szCs w:val="24"/>
        </w:rPr>
      </w:pPr>
    </w:p>
    <w:p w14:paraId="03750F75">
      <w:pPr>
        <w:snapToGrid w:val="0"/>
        <w:ind w:firstLine="480" w:firstLineChars="2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                   被委托授权人签字：</w:t>
      </w:r>
    </w:p>
    <w:p w14:paraId="7B13F496">
      <w:pPr>
        <w:snapToGrid w:val="0"/>
        <w:ind w:firstLine="4440" w:firstLineChars="1850"/>
        <w:contextualSpacing/>
        <w:rPr>
          <w:rFonts w:asciiTheme="minorEastAsia" w:hAnsiTheme="minorEastAsia" w:eastAsiaTheme="minorEastAsia" w:cstheme="minorEastAsia"/>
          <w:sz w:val="24"/>
          <w:szCs w:val="24"/>
        </w:rPr>
      </w:pPr>
    </w:p>
    <w:p w14:paraId="74A31DD2">
      <w:pPr>
        <w:snapToGrid w:val="0"/>
        <w:ind w:firstLine="4800" w:firstLineChars="2000"/>
        <w:contextualSpacing/>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供应商（盖章）</w:t>
      </w:r>
    </w:p>
    <w:p w14:paraId="2B027D35">
      <w:pPr>
        <w:snapToGrid w:val="0"/>
        <w:ind w:firstLine="4800" w:firstLineChars="2000"/>
        <w:contextualSpacing/>
        <w:rPr>
          <w:rFonts w:asciiTheme="minorEastAsia" w:hAnsiTheme="minorEastAsia" w:eastAsiaTheme="minorEastAsia" w:cstheme="minorEastAsia"/>
          <w:sz w:val="24"/>
          <w:szCs w:val="24"/>
        </w:rPr>
      </w:pPr>
    </w:p>
    <w:p w14:paraId="56D1B916">
      <w:pPr>
        <w:pStyle w:val="8"/>
        <w:snapToGrid w:val="0"/>
        <w:spacing w:line="240" w:lineRule="auto"/>
        <w:ind w:left="520" w:firstLine="4440" w:firstLineChars="1850"/>
        <w:contextualSpacing/>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年    月    日</w:t>
      </w:r>
    </w:p>
    <w:p w14:paraId="66C72A3F">
      <w:pPr>
        <w:pStyle w:val="7"/>
        <w:snapToGrid w:val="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须提供被委托授权人的身份证复印件盖公章</w:t>
      </w:r>
    </w:p>
    <w:p w14:paraId="5AE85A86">
      <w:pPr>
        <w:snapToGrid w:val="0"/>
        <w:rPr>
          <w:rFonts w:asciiTheme="minorEastAsia" w:hAnsiTheme="minorEastAsia" w:eastAsiaTheme="minorEastAsia" w:cstheme="minorEastAsia"/>
          <w:sz w:val="24"/>
          <w:szCs w:val="24"/>
        </w:rPr>
      </w:pPr>
    </w:p>
    <w:p w14:paraId="03B53762">
      <w:pPr>
        <w:snapToGrid w:val="0"/>
        <w:rPr>
          <w:rFonts w:asciiTheme="minorEastAsia" w:hAnsiTheme="minorEastAsia" w:eastAsiaTheme="minorEastAsia" w:cstheme="minorEastAsia"/>
          <w:sz w:val="24"/>
          <w:szCs w:val="24"/>
        </w:rPr>
      </w:pPr>
    </w:p>
    <w:p w14:paraId="339AE6F3">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（粘贴此处）</w:t>
      </w:r>
    </w:p>
    <w:p w14:paraId="3579BF51">
      <w:pPr>
        <w:pStyle w:val="2"/>
        <w:ind w:firstLine="480"/>
        <w:rPr>
          <w:rFonts w:asciiTheme="minorEastAsia" w:hAnsiTheme="minorEastAsia" w:eastAsiaTheme="minorEastAsia" w:cstheme="minorEastAsia"/>
          <w:sz w:val="24"/>
          <w:szCs w:val="24"/>
        </w:rPr>
      </w:pPr>
    </w:p>
    <w:p w14:paraId="2B2F8BE0">
      <w:pPr>
        <w:pStyle w:val="2"/>
        <w:ind w:firstLine="480"/>
        <w:rPr>
          <w:rFonts w:asciiTheme="minorEastAsia" w:hAnsiTheme="minorEastAsia" w:eastAsiaTheme="minorEastAsia" w:cstheme="minorEastAsia"/>
          <w:sz w:val="24"/>
          <w:szCs w:val="24"/>
        </w:rPr>
      </w:pPr>
    </w:p>
    <w:p w14:paraId="02B344B4">
      <w:pPr>
        <w:snapToGrid w:val="0"/>
        <w:rPr>
          <w:rFonts w:asciiTheme="minorEastAsia" w:hAnsiTheme="minorEastAsia" w:eastAsiaTheme="minorEastAsia" w:cstheme="minorEastAsia"/>
          <w:sz w:val="24"/>
          <w:szCs w:val="24"/>
        </w:rPr>
      </w:pPr>
    </w:p>
    <w:p w14:paraId="5C8F817F">
      <w:pPr>
        <w:pStyle w:val="26"/>
        <w:snapToGrid w:val="0"/>
        <w:spacing w:before="156" w:line="240" w:lineRule="auto"/>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注:如授权代表参加磋商须将身份证原件带至开标现场备查。</w:t>
      </w:r>
    </w:p>
    <w:p w14:paraId="0D610617">
      <w:pPr>
        <w:pStyle w:val="26"/>
        <w:snapToGrid w:val="0"/>
        <w:spacing w:before="156" w:line="240" w:lineRule="auto"/>
        <w:rPr>
          <w:rFonts w:asciiTheme="minorEastAsia" w:hAnsiTheme="minorEastAsia" w:eastAsiaTheme="minorEastAsia" w:cstheme="minorEastAsia"/>
          <w:b/>
          <w:bCs/>
          <w:szCs w:val="24"/>
        </w:rPr>
      </w:pPr>
    </w:p>
    <w:p w14:paraId="3C7E1C27">
      <w:pPr>
        <w:pStyle w:val="26"/>
        <w:snapToGrid w:val="0"/>
        <w:spacing w:before="156" w:line="240" w:lineRule="auto"/>
        <w:ind w:firstLine="3554" w:firstLineChars="1481"/>
        <w:rPr>
          <w:rFonts w:asciiTheme="minorEastAsia" w:hAnsiTheme="minorEastAsia" w:eastAsiaTheme="minorEastAsia" w:cstheme="minorEastAsia"/>
          <w:b/>
          <w:bCs/>
          <w:szCs w:val="24"/>
        </w:rPr>
      </w:pPr>
      <w:r>
        <w:rPr>
          <w:rFonts w:asciiTheme="minorEastAsia" w:hAnsiTheme="minorEastAsia" w:eastAsiaTheme="minorEastAsia" w:cstheme="minorEastAsia"/>
          <w:szCs w:val="24"/>
        </w:rPr>
        <w:br w:type="page"/>
      </w:r>
      <w:bookmarkStart w:id="67" w:name="_Toc2163_WPSOffice_Level1"/>
    </w:p>
    <w:p w14:paraId="75C42E85">
      <w:pPr>
        <w:snapToGrid w:val="0"/>
        <w:jc w:val="left"/>
        <w:rPr>
          <w:rFonts w:asciiTheme="minorEastAsia" w:hAnsiTheme="minorEastAsia" w:eastAsiaTheme="minorEastAsia" w:cstheme="minorEastAsia"/>
          <w:b/>
          <w:bCs/>
          <w:sz w:val="24"/>
          <w:szCs w:val="24"/>
        </w:rPr>
      </w:pPr>
      <w:bookmarkStart w:id="68" w:name="_Toc8178_WPSOffice_Level1"/>
      <w:r>
        <w:rPr>
          <w:rFonts w:hint="eastAsia" w:asciiTheme="minorEastAsia" w:hAnsiTheme="minorEastAsia" w:eastAsiaTheme="minorEastAsia" w:cstheme="minorEastAsia"/>
          <w:b/>
          <w:bCs/>
          <w:sz w:val="24"/>
          <w:szCs w:val="24"/>
        </w:rPr>
        <w:t>附件四：</w:t>
      </w:r>
      <w:bookmarkEnd w:id="67"/>
      <w:bookmarkEnd w:id="68"/>
    </w:p>
    <w:p w14:paraId="51B2CCB8">
      <w:pPr>
        <w:snapToGrid w:val="0"/>
        <w:jc w:val="center"/>
        <w:rPr>
          <w:rFonts w:asciiTheme="minorEastAsia" w:hAnsiTheme="minorEastAsia" w:eastAsiaTheme="minorEastAsia" w:cstheme="minorEastAsia"/>
          <w:b/>
          <w:bCs/>
          <w:sz w:val="24"/>
          <w:szCs w:val="24"/>
        </w:rPr>
      </w:pPr>
    </w:p>
    <w:p w14:paraId="295D0983">
      <w:pPr>
        <w:snapToGrid w:val="0"/>
        <w:jc w:val="center"/>
        <w:rPr>
          <w:rFonts w:asciiTheme="minorEastAsia" w:hAnsiTheme="minorEastAsia" w:eastAsiaTheme="minorEastAsia" w:cstheme="minorEastAsia"/>
          <w:b/>
          <w:bCs/>
          <w:sz w:val="24"/>
          <w:szCs w:val="24"/>
        </w:rPr>
      </w:pPr>
    </w:p>
    <w:p w14:paraId="79644992">
      <w:pPr>
        <w:snapToGrid w:val="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无重大违法记录等声明</w:t>
      </w:r>
    </w:p>
    <w:p w14:paraId="2FD30B9B">
      <w:pPr>
        <w:pStyle w:val="26"/>
        <w:snapToGrid w:val="0"/>
        <w:spacing w:before="156" w:line="240" w:lineRule="auto"/>
        <w:rPr>
          <w:rFonts w:asciiTheme="minorEastAsia" w:hAnsiTheme="minorEastAsia" w:eastAsiaTheme="minorEastAsia" w:cstheme="minorEastAsia"/>
          <w:szCs w:val="24"/>
        </w:rPr>
      </w:pPr>
    </w:p>
    <w:p w14:paraId="05F7D5B7">
      <w:pPr>
        <w:snapToGrid w:val="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val="zh-CN"/>
        </w:rPr>
        <w:t>：</w:t>
      </w:r>
    </w:p>
    <w:p w14:paraId="2A3A0397">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我单位（供应商名称）郑重声明：</w:t>
      </w:r>
    </w:p>
    <w:p w14:paraId="193F2013">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参加政府采购活动前3年内在经营活动中</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（在下划线上如实填写：有或没有）重大违法记录。</w:t>
      </w:r>
    </w:p>
    <w:p w14:paraId="6C8F3172">
      <w:pPr>
        <w:snapToGrid w:val="0"/>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（说明：政府采购法第二十二条第一款第五项所称重大违法记录，是指供应商因违法经营受到刑事处罚或者责令停产停业、吊销许可证或者执照、较大数额罚款等行政处罚。）</w:t>
      </w:r>
    </w:p>
    <w:p w14:paraId="5C772C80">
      <w:pPr>
        <w:pStyle w:val="2"/>
        <w:ind w:firstLine="420"/>
        <w:rPr>
          <w:rFonts w:hint="eastAsia"/>
        </w:rPr>
      </w:pPr>
    </w:p>
    <w:p w14:paraId="670AC3C0">
      <w:pPr>
        <w:pStyle w:val="2"/>
        <w:ind w:firstLine="420"/>
        <w:rPr>
          <w:rFonts w:hint="eastAsia"/>
        </w:rPr>
      </w:pPr>
    </w:p>
    <w:p w14:paraId="3368CC19">
      <w:pPr>
        <w:pStyle w:val="2"/>
        <w:ind w:firstLine="420"/>
      </w:pPr>
    </w:p>
    <w:p w14:paraId="32806D22">
      <w:pPr>
        <w:pStyle w:val="26"/>
        <w:snapToGrid w:val="0"/>
        <w:spacing w:before="156" w:line="240" w:lineRule="auto"/>
        <w:rPr>
          <w:rFonts w:asciiTheme="minorEastAsia" w:hAnsiTheme="minorEastAsia" w:eastAsiaTheme="minorEastAsia" w:cstheme="minorEastAsia"/>
          <w:szCs w:val="24"/>
        </w:rPr>
      </w:pPr>
    </w:p>
    <w:p w14:paraId="77D7F18D">
      <w:pPr>
        <w:pStyle w:val="26"/>
        <w:snapToGrid w:val="0"/>
        <w:spacing w:before="156" w:line="240" w:lineRule="auto"/>
        <w:rPr>
          <w:rFonts w:asciiTheme="minorEastAsia" w:hAnsiTheme="minorEastAsia" w:eastAsiaTheme="minorEastAsia" w:cstheme="minorEastAsia"/>
          <w:szCs w:val="24"/>
        </w:rPr>
      </w:pPr>
    </w:p>
    <w:p w14:paraId="6F8C2178">
      <w:pPr>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声明人：（公章）</w:t>
      </w:r>
    </w:p>
    <w:p w14:paraId="74555AFB">
      <w:pPr>
        <w:snapToGrid w:val="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516AA35C">
      <w:pPr>
        <w:pStyle w:val="29"/>
        <w:snapToGrid w:val="0"/>
        <w:contextualSpacing/>
        <w:jc w:val="both"/>
        <w:rPr>
          <w:rFonts w:asciiTheme="minorEastAsia" w:hAnsiTheme="minorEastAsia" w:eastAsiaTheme="minorEastAsia" w:cstheme="minorEastAsia"/>
          <w:b/>
          <w:bCs/>
          <w:szCs w:val="24"/>
        </w:rPr>
        <w:sectPr>
          <w:pgSz w:w="11906" w:h="16838"/>
          <w:pgMar w:top="1440" w:right="1800" w:bottom="1440" w:left="1800" w:header="851" w:footer="992" w:gutter="0"/>
          <w:cols w:space="425" w:num="1"/>
          <w:docGrid w:type="lines" w:linePitch="312" w:charSpace="0"/>
        </w:sectPr>
      </w:pPr>
    </w:p>
    <w:p w14:paraId="788E73A3">
      <w:pPr>
        <w:pStyle w:val="29"/>
        <w:snapToGrid w:val="0"/>
        <w:contextualSpacing/>
        <w:jc w:val="both"/>
        <w:rPr>
          <w:rFonts w:asciiTheme="minorEastAsia" w:hAnsiTheme="minorEastAsia" w:eastAsiaTheme="minorEastAsia" w:cstheme="minorEastAsia"/>
          <w:szCs w:val="24"/>
        </w:rPr>
      </w:pPr>
      <w:bookmarkStart w:id="69" w:name="_Toc16979_WPSOffice_Level1"/>
      <w:bookmarkStart w:id="70" w:name="_Toc20783_WPSOffice_Level1"/>
      <w:r>
        <w:rPr>
          <w:rFonts w:hint="eastAsia" w:asciiTheme="minorEastAsia" w:hAnsiTheme="minorEastAsia" w:eastAsiaTheme="minorEastAsia" w:cstheme="minorEastAsia"/>
          <w:b/>
          <w:bCs/>
          <w:szCs w:val="24"/>
        </w:rPr>
        <w:t>附件五：</w:t>
      </w:r>
      <w:bookmarkEnd w:id="69"/>
      <w:bookmarkEnd w:id="70"/>
    </w:p>
    <w:p w14:paraId="05971C53">
      <w:pPr>
        <w:pStyle w:val="26"/>
        <w:snapToGrid w:val="0"/>
        <w:spacing w:before="156" w:line="240" w:lineRule="auto"/>
        <w:rPr>
          <w:rFonts w:asciiTheme="minorEastAsia" w:hAnsiTheme="minorEastAsia" w:eastAsiaTheme="minorEastAsia" w:cstheme="minorEastAsia"/>
          <w:szCs w:val="24"/>
        </w:rPr>
      </w:pPr>
    </w:p>
    <w:p w14:paraId="3BD028C6">
      <w:pPr>
        <w:tabs>
          <w:tab w:val="left" w:pos="1260"/>
        </w:tabs>
        <w:snapToGrid w:val="0"/>
        <w:contextualSpacing/>
        <w:jc w:val="center"/>
        <w:rPr>
          <w:rFonts w:asciiTheme="minorEastAsia" w:hAnsiTheme="minorEastAsia" w:eastAsiaTheme="minorEastAsia" w:cstheme="minorEastAsia"/>
          <w:b/>
          <w:sz w:val="24"/>
          <w:szCs w:val="24"/>
        </w:rPr>
      </w:pPr>
      <w:bookmarkStart w:id="71" w:name="_Toc29687_WPSOffice_Level1"/>
      <w:bookmarkStart w:id="72" w:name="_Toc3759_WPSOffice_Level1"/>
      <w:r>
        <w:rPr>
          <w:rFonts w:hint="eastAsia" w:asciiTheme="minorEastAsia" w:hAnsiTheme="minorEastAsia" w:eastAsiaTheme="minorEastAsia" w:cstheme="minorEastAsia"/>
          <w:b/>
          <w:sz w:val="24"/>
          <w:szCs w:val="24"/>
        </w:rPr>
        <w:t>供应商情况一览表</w:t>
      </w:r>
      <w:bookmarkEnd w:id="71"/>
      <w:bookmarkEnd w:id="72"/>
    </w:p>
    <w:tbl>
      <w:tblPr>
        <w:tblStyle w:val="15"/>
        <w:tblW w:w="900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863"/>
        <w:gridCol w:w="284"/>
        <w:gridCol w:w="3848"/>
      </w:tblGrid>
      <w:tr w14:paraId="4FBE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trPr>
        <w:tc>
          <w:tcPr>
            <w:tcW w:w="1005" w:type="dxa"/>
            <w:vAlign w:val="center"/>
          </w:tcPr>
          <w:p w14:paraId="57CC2B00">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995" w:type="dxa"/>
            <w:gridSpan w:val="3"/>
          </w:tcPr>
          <w:p w14:paraId="3EE56DDF">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企业名称：</w:t>
            </w:r>
          </w:p>
        </w:tc>
      </w:tr>
      <w:tr w14:paraId="715CF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5" w:type="dxa"/>
            <w:vAlign w:val="center"/>
          </w:tcPr>
          <w:p w14:paraId="79FF3931">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995" w:type="dxa"/>
            <w:gridSpan w:val="3"/>
          </w:tcPr>
          <w:p w14:paraId="6369CAB7">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总部地址：</w:t>
            </w:r>
          </w:p>
        </w:tc>
      </w:tr>
      <w:tr w14:paraId="7DE5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5" w:type="dxa"/>
            <w:vAlign w:val="center"/>
          </w:tcPr>
          <w:p w14:paraId="7FFD0DD9">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995" w:type="dxa"/>
            <w:gridSpan w:val="3"/>
          </w:tcPr>
          <w:p w14:paraId="3B842A22">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当地代表处地址：</w:t>
            </w:r>
          </w:p>
        </w:tc>
      </w:tr>
      <w:tr w14:paraId="19CF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71755DC2">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863" w:type="dxa"/>
          </w:tcPr>
          <w:p w14:paraId="0467B968">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4132" w:type="dxa"/>
            <w:gridSpan w:val="2"/>
          </w:tcPr>
          <w:p w14:paraId="3B479D6D">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r>
      <w:tr w14:paraId="620A4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3523C447">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863" w:type="dxa"/>
          </w:tcPr>
          <w:p w14:paraId="54DD6DD8">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传真：</w:t>
            </w:r>
          </w:p>
        </w:tc>
        <w:tc>
          <w:tcPr>
            <w:tcW w:w="4132" w:type="dxa"/>
            <w:gridSpan w:val="2"/>
          </w:tcPr>
          <w:p w14:paraId="44F31370">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电子邮件：</w:t>
            </w:r>
          </w:p>
        </w:tc>
      </w:tr>
      <w:tr w14:paraId="2FE6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dxa"/>
            <w:vAlign w:val="center"/>
          </w:tcPr>
          <w:p w14:paraId="4171709D">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863" w:type="dxa"/>
          </w:tcPr>
          <w:p w14:paraId="6DF6F458">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w:t>
            </w:r>
          </w:p>
        </w:tc>
        <w:tc>
          <w:tcPr>
            <w:tcW w:w="4132" w:type="dxa"/>
            <w:gridSpan w:val="2"/>
          </w:tcPr>
          <w:p w14:paraId="0419D230">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注册年份：</w:t>
            </w:r>
          </w:p>
        </w:tc>
      </w:tr>
      <w:tr w14:paraId="539A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5" w:type="dxa"/>
            <w:vAlign w:val="center"/>
          </w:tcPr>
          <w:p w14:paraId="2AC34E8E">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7995" w:type="dxa"/>
            <w:gridSpan w:val="3"/>
          </w:tcPr>
          <w:p w14:paraId="786B6301">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公司资质等级证书号（请附有关证书的复印件）</w:t>
            </w:r>
          </w:p>
        </w:tc>
      </w:tr>
      <w:tr w14:paraId="0B86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5" w:type="dxa"/>
            <w:vAlign w:val="center"/>
          </w:tcPr>
          <w:p w14:paraId="04FCA95E">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7995" w:type="dxa"/>
            <w:gridSpan w:val="3"/>
          </w:tcPr>
          <w:p w14:paraId="18461A31">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w:t>
            </w:r>
            <w:r>
              <w:rPr>
                <w:rFonts w:hint="eastAsia" w:asciiTheme="minorEastAsia" w:hAnsiTheme="minorEastAsia" w:eastAsiaTheme="minorEastAsia" w:cstheme="minorEastAsia"/>
                <w:sz w:val="24"/>
                <w:szCs w:val="24"/>
                <w:u w:val="single"/>
              </w:rPr>
              <w:t xml:space="preserve">   （是否通过，何种）   </w:t>
            </w:r>
            <w:r>
              <w:rPr>
                <w:rFonts w:hint="eastAsia" w:asciiTheme="minorEastAsia" w:hAnsiTheme="minorEastAsia" w:eastAsiaTheme="minorEastAsia" w:cstheme="minorEastAsia"/>
                <w:sz w:val="24"/>
                <w:szCs w:val="24"/>
              </w:rPr>
              <w:t>质量保证体系认证（如通过请附相关证书复印件，没有请忽略该项）</w:t>
            </w:r>
          </w:p>
        </w:tc>
      </w:tr>
      <w:tr w14:paraId="171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1005" w:type="dxa"/>
            <w:vAlign w:val="center"/>
          </w:tcPr>
          <w:p w14:paraId="6B019842">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7995" w:type="dxa"/>
            <w:gridSpan w:val="3"/>
          </w:tcPr>
          <w:p w14:paraId="46B01366">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经营范围：1、；2、；3、……</w:t>
            </w:r>
          </w:p>
        </w:tc>
      </w:tr>
      <w:tr w14:paraId="18E2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05" w:type="dxa"/>
            <w:vAlign w:val="center"/>
          </w:tcPr>
          <w:p w14:paraId="20349056">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4147" w:type="dxa"/>
            <w:gridSpan w:val="2"/>
            <w:vAlign w:val="center"/>
          </w:tcPr>
          <w:p w14:paraId="006C4560">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供应商从事投标项目设计的年数</w:t>
            </w:r>
          </w:p>
        </w:tc>
        <w:tc>
          <w:tcPr>
            <w:tcW w:w="3848" w:type="dxa"/>
            <w:vAlign w:val="center"/>
          </w:tcPr>
          <w:p w14:paraId="6C0D666E">
            <w:pPr>
              <w:tabs>
                <w:tab w:val="left" w:pos="993"/>
              </w:tabs>
              <w:snapToGrid w:val="0"/>
              <w:rPr>
                <w:rFonts w:asciiTheme="minorEastAsia" w:hAnsiTheme="minorEastAsia" w:eastAsiaTheme="minorEastAsia" w:cstheme="minorEastAsia"/>
                <w:sz w:val="24"/>
                <w:szCs w:val="24"/>
              </w:rPr>
            </w:pPr>
          </w:p>
        </w:tc>
      </w:tr>
      <w:tr w14:paraId="5F53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005" w:type="dxa"/>
            <w:vAlign w:val="center"/>
          </w:tcPr>
          <w:p w14:paraId="23647501">
            <w:pPr>
              <w:tabs>
                <w:tab w:val="left" w:pos="993"/>
              </w:tabs>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7995" w:type="dxa"/>
            <w:gridSpan w:val="3"/>
            <w:vAlign w:val="center"/>
          </w:tcPr>
          <w:p w14:paraId="64EF6D34">
            <w:pPr>
              <w:tabs>
                <w:tab w:val="left" w:pos="993"/>
              </w:tabs>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其他需要说明的情况，可自行添加</w:t>
            </w:r>
          </w:p>
        </w:tc>
      </w:tr>
    </w:tbl>
    <w:p w14:paraId="251D88E4">
      <w:pPr>
        <w:kinsoku w:val="0"/>
        <w:topLinePunct/>
        <w:snapToGrid w:val="0"/>
        <w:rPr>
          <w:rFonts w:asciiTheme="minorEastAsia" w:hAnsiTheme="minorEastAsia" w:eastAsiaTheme="minorEastAsia" w:cstheme="minorEastAsia"/>
          <w:sz w:val="24"/>
          <w:szCs w:val="24"/>
        </w:rPr>
      </w:pPr>
    </w:p>
    <w:p w14:paraId="49684D5B">
      <w:pPr>
        <w:kinsoku w:val="0"/>
        <w:topLinePunct/>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供应商：（盖章）             </w:t>
      </w:r>
    </w:p>
    <w:p w14:paraId="57088CA2">
      <w:pPr>
        <w:kinsoku w:val="0"/>
        <w:topLinePunct/>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法定代表人或被委托授权人（签字）：</w:t>
      </w:r>
    </w:p>
    <w:p w14:paraId="39D2C7D4">
      <w:pPr>
        <w:adjustRightInd w:val="0"/>
        <w:snapToGrid w:val="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w:t>
      </w:r>
    </w:p>
    <w:p w14:paraId="4A70550E">
      <w:pPr>
        <w:pStyle w:val="26"/>
        <w:snapToGrid w:val="0"/>
        <w:spacing w:before="156" w:line="240" w:lineRule="auto"/>
        <w:rPr>
          <w:rFonts w:asciiTheme="minorEastAsia" w:hAnsiTheme="minorEastAsia" w:eastAsiaTheme="minorEastAsia" w:cstheme="minorEastAsia"/>
          <w:szCs w:val="24"/>
        </w:rPr>
      </w:pPr>
    </w:p>
    <w:p w14:paraId="7D83452D">
      <w:pPr>
        <w:pStyle w:val="26"/>
        <w:snapToGrid w:val="0"/>
        <w:spacing w:before="156" w:line="240" w:lineRule="auto"/>
        <w:rPr>
          <w:rFonts w:asciiTheme="minorEastAsia" w:hAnsiTheme="minorEastAsia" w:eastAsiaTheme="minorEastAsia" w:cstheme="minorEastAsia"/>
          <w:szCs w:val="24"/>
        </w:rPr>
      </w:pPr>
    </w:p>
    <w:p w14:paraId="7AF7B99D">
      <w:pPr>
        <w:pStyle w:val="26"/>
        <w:snapToGrid w:val="0"/>
        <w:spacing w:before="156" w:line="240" w:lineRule="auto"/>
        <w:ind w:firstLine="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注：本表不是格式化表格，供应商可根据需要，自行添加删除。</w:t>
      </w:r>
    </w:p>
    <w:p w14:paraId="13376CF2">
      <w:pPr>
        <w:pStyle w:val="26"/>
        <w:snapToGrid w:val="0"/>
        <w:spacing w:before="156" w:line="240" w:lineRule="auto"/>
        <w:rPr>
          <w:rFonts w:asciiTheme="minorEastAsia" w:hAnsiTheme="minorEastAsia" w:eastAsiaTheme="minorEastAsia" w:cstheme="minorEastAsia"/>
          <w:szCs w:val="24"/>
        </w:rPr>
        <w:sectPr>
          <w:pgSz w:w="11906" w:h="16838"/>
          <w:pgMar w:top="1440" w:right="1800" w:bottom="1440" w:left="1800" w:header="851" w:footer="992" w:gutter="0"/>
          <w:cols w:space="425" w:num="1"/>
          <w:docGrid w:type="lines" w:linePitch="312" w:charSpace="0"/>
        </w:sectPr>
      </w:pPr>
    </w:p>
    <w:p w14:paraId="28DFF4DF">
      <w:pPr>
        <w:pStyle w:val="26"/>
        <w:snapToGrid w:val="0"/>
        <w:spacing w:before="156" w:line="240" w:lineRule="auto"/>
        <w:ind w:firstLine="0"/>
        <w:rPr>
          <w:rFonts w:asciiTheme="minorEastAsia" w:hAnsiTheme="minorEastAsia" w:eastAsiaTheme="minorEastAsia" w:cstheme="minorEastAsia"/>
          <w:b/>
          <w:bCs/>
          <w:szCs w:val="24"/>
        </w:rPr>
      </w:pPr>
      <w:bookmarkStart w:id="73" w:name="_Toc16751_WPSOffice_Level1"/>
      <w:bookmarkStart w:id="74" w:name="_Toc9999_WPSOffice_Level1"/>
      <w:r>
        <w:rPr>
          <w:rFonts w:hint="eastAsia" w:asciiTheme="minorEastAsia" w:hAnsiTheme="minorEastAsia" w:eastAsiaTheme="minorEastAsia" w:cstheme="minorEastAsia"/>
          <w:b/>
          <w:bCs/>
          <w:szCs w:val="24"/>
        </w:rPr>
        <w:t>附件六：</w:t>
      </w:r>
      <w:bookmarkEnd w:id="73"/>
      <w:bookmarkEnd w:id="74"/>
    </w:p>
    <w:p w14:paraId="4357E59E">
      <w:pPr>
        <w:tabs>
          <w:tab w:val="left" w:pos="1260"/>
        </w:tabs>
        <w:snapToGrid w:val="0"/>
        <w:contextualSpacing/>
        <w:jc w:val="center"/>
        <w:rPr>
          <w:rFonts w:asciiTheme="minorEastAsia" w:hAnsiTheme="minorEastAsia" w:eastAsiaTheme="minorEastAsia" w:cstheme="minorEastAsia"/>
          <w:b/>
          <w:sz w:val="24"/>
          <w:szCs w:val="24"/>
        </w:rPr>
      </w:pPr>
      <w:bookmarkStart w:id="75" w:name="_Toc27538_WPSOffice_Level1"/>
      <w:bookmarkStart w:id="76" w:name="_Toc16069_WPSOffice_Level1"/>
      <w:r>
        <w:rPr>
          <w:rFonts w:hint="eastAsia" w:asciiTheme="minorEastAsia" w:hAnsiTheme="minorEastAsia" w:eastAsiaTheme="minorEastAsia" w:cstheme="minorEastAsia"/>
          <w:b/>
          <w:sz w:val="24"/>
          <w:szCs w:val="24"/>
        </w:rPr>
        <w:t>竞争性磋商响应函</w:t>
      </w:r>
      <w:bookmarkEnd w:id="75"/>
      <w:bookmarkEnd w:id="76"/>
    </w:p>
    <w:p w14:paraId="23DCB934">
      <w:pPr>
        <w:snapToGrid w:val="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val="zh-CN"/>
        </w:rPr>
        <w:t>：</w:t>
      </w:r>
    </w:p>
    <w:p w14:paraId="0C76F50F">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依据贵单位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（招标项目名称)项目竞争性磋商的邀请，我方授权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（职务）为全权代表参加该项目的磋商响应工作，全权处理本次磋商的有关事宜。同时，我公司声明如下：</w:t>
      </w:r>
    </w:p>
    <w:p w14:paraId="012E4952">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愿意按照磋商文件的一切要求，提供完成该项目的全部内容，我方的磋商响应报价中包含：所投项目相关劳务支出等工作所发生的全部费用，以及供应商企业利润、税金和政策性文件规定及合同包含的所有风险、责任等，即招标物交付使用前的所有费用以及服务费用等包含响应招标文件采购要求的所有各项应有费用。</w:t>
      </w:r>
    </w:p>
    <w:p w14:paraId="14922F6A">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2.我方已经详细审查了全部磋商文件，我方已完全清晰理解磋商文件的要求，不存在任何含糊不清和误解之处，同意放弃对这些文件所提出的异议和质疑的权利。</w:t>
      </w:r>
    </w:p>
    <w:p w14:paraId="1476B0F5">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3.我方愿意提供招标采购单位在磋商文件中要求的所有资料。</w:t>
      </w:r>
    </w:p>
    <w:p w14:paraId="40061B62">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4.我方承诺在本次磋商响应中提供的一切文件，无论是原件还是复印件均真实有效，绝无任何虚假、伪造和夸大的成份。否则，愿承担相应的后果和法律责任。</w:t>
      </w:r>
    </w:p>
    <w:p w14:paraId="270FD350">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5.我方尊重磋商小组所作评定结果，同时也清楚理解到磋商报价最低并非意味着必定获得成交资格。</w:t>
      </w:r>
    </w:p>
    <w:p w14:paraId="24DCED17">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6.我方愿意按磋商文件的规定交纳投标保证金，并同意供应商须知中关于没收投标保证金的规定。</w:t>
      </w:r>
    </w:p>
    <w:p w14:paraId="3B0A9D43">
      <w:pPr>
        <w:snapToGrid w:val="0"/>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7.一旦我方成交，我方将根据磋商文件的规定，严格履行磋商文件中规定的每一项要求，按期、按质、按量履行合同的义务。</w:t>
      </w:r>
    </w:p>
    <w:p w14:paraId="6288A9A5">
      <w:pPr>
        <w:snapToGrid w:val="0"/>
        <w:ind w:firstLine="2400" w:firstLineChars="1000"/>
        <w:jc w:val="right"/>
        <w:rPr>
          <w:rFonts w:asciiTheme="minorEastAsia" w:hAnsiTheme="minorEastAsia" w:eastAsiaTheme="minorEastAsia" w:cstheme="minorEastAsia"/>
          <w:sz w:val="24"/>
          <w:szCs w:val="24"/>
        </w:rPr>
      </w:pPr>
    </w:p>
    <w:p w14:paraId="5005EB03">
      <w:pPr>
        <w:snapToGrid w:val="0"/>
        <w:ind w:firstLine="2400" w:firstLineChars="1000"/>
        <w:jc w:val="right"/>
        <w:rPr>
          <w:rFonts w:asciiTheme="minorEastAsia" w:hAnsiTheme="minorEastAsia" w:eastAsiaTheme="minorEastAsia" w:cstheme="minorEastAsia"/>
          <w:sz w:val="24"/>
          <w:szCs w:val="24"/>
        </w:rPr>
      </w:pPr>
    </w:p>
    <w:p w14:paraId="08A9A83C">
      <w:pPr>
        <w:snapToGrid w:val="0"/>
        <w:ind w:firstLine="2400" w:firstLineChars="1000"/>
        <w:jc w:val="right"/>
        <w:rPr>
          <w:rFonts w:asciiTheme="minorEastAsia" w:hAnsiTheme="minorEastAsia" w:eastAsiaTheme="minorEastAsia" w:cstheme="minorEastAsia"/>
          <w:sz w:val="24"/>
          <w:szCs w:val="24"/>
        </w:rPr>
      </w:pPr>
    </w:p>
    <w:p w14:paraId="0D39A617">
      <w:pPr>
        <w:snapToGrid w:val="0"/>
        <w:ind w:firstLine="2400" w:firstLineChars="1000"/>
        <w:jc w:val="right"/>
        <w:rPr>
          <w:rFonts w:asciiTheme="minorEastAsia" w:hAnsiTheme="minorEastAsia" w:eastAsiaTheme="minorEastAsia" w:cstheme="minorEastAsia"/>
          <w:sz w:val="24"/>
          <w:szCs w:val="24"/>
        </w:rPr>
      </w:pPr>
    </w:p>
    <w:p w14:paraId="43AAD241">
      <w:pPr>
        <w:snapToGrid w:val="0"/>
        <w:ind w:firstLine="2400" w:firstLineChars="100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供应商：（加盖公章）</w:t>
      </w:r>
    </w:p>
    <w:p w14:paraId="36327EA3">
      <w:pPr>
        <w:snapToGrid w:val="0"/>
        <w:ind w:firstLine="2400" w:firstLineChars="1000"/>
        <w:jc w:val="righ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法定代表人或被委托授权人：（签字）</w:t>
      </w:r>
    </w:p>
    <w:p w14:paraId="3D7C04E2">
      <w:pPr>
        <w:pStyle w:val="26"/>
        <w:snapToGrid w:val="0"/>
        <w:spacing w:before="156" w:line="240" w:lineRule="auto"/>
        <w:ind w:left="520" w:leftChars="200" w:firstLine="0"/>
        <w:jc w:val="righ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年      月     日</w:t>
      </w:r>
    </w:p>
    <w:p w14:paraId="48077A36">
      <w:pPr>
        <w:pStyle w:val="26"/>
        <w:snapToGrid w:val="0"/>
        <w:spacing w:before="156" w:line="240" w:lineRule="auto"/>
        <w:ind w:left="520" w:leftChars="200" w:firstLine="0"/>
        <w:jc w:val="right"/>
        <w:rPr>
          <w:rFonts w:asciiTheme="minorEastAsia" w:hAnsiTheme="minorEastAsia" w:eastAsiaTheme="minorEastAsia" w:cstheme="minorEastAsia"/>
          <w:szCs w:val="24"/>
        </w:rPr>
      </w:pPr>
    </w:p>
    <w:p w14:paraId="1D9C0053">
      <w:pPr>
        <w:pStyle w:val="26"/>
        <w:snapToGrid w:val="0"/>
        <w:spacing w:before="156" w:line="240" w:lineRule="auto"/>
        <w:ind w:left="520" w:leftChars="200" w:firstLine="0"/>
        <w:rPr>
          <w:rFonts w:asciiTheme="minorEastAsia" w:hAnsiTheme="minorEastAsia" w:eastAsiaTheme="minorEastAsia" w:cstheme="minorEastAsia"/>
          <w:szCs w:val="24"/>
        </w:rPr>
      </w:pPr>
    </w:p>
    <w:p w14:paraId="3D1362B3">
      <w:pPr>
        <w:pStyle w:val="26"/>
        <w:snapToGrid w:val="0"/>
        <w:spacing w:before="156" w:line="240" w:lineRule="auto"/>
        <w:ind w:left="520" w:leftChars="200" w:firstLine="0"/>
        <w:rPr>
          <w:rFonts w:asciiTheme="minorEastAsia" w:hAnsiTheme="minorEastAsia" w:eastAsiaTheme="minorEastAsia" w:cstheme="minorEastAsia"/>
          <w:szCs w:val="24"/>
        </w:rPr>
      </w:pPr>
    </w:p>
    <w:p w14:paraId="32EA211A">
      <w:pPr>
        <w:pStyle w:val="26"/>
        <w:snapToGrid w:val="0"/>
        <w:spacing w:before="156" w:line="240" w:lineRule="auto"/>
        <w:ind w:firstLine="0"/>
        <w:rPr>
          <w:rFonts w:asciiTheme="minorEastAsia" w:hAnsiTheme="minorEastAsia" w:eastAsiaTheme="minorEastAsia" w:cstheme="minorEastAsia"/>
          <w:szCs w:val="24"/>
        </w:rPr>
      </w:pPr>
    </w:p>
    <w:p w14:paraId="488DD052">
      <w:pPr>
        <w:pStyle w:val="29"/>
        <w:snapToGrid w:val="0"/>
        <w:contextualSpacing/>
        <w:jc w:val="both"/>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br w:type="page"/>
      </w:r>
      <w:r>
        <w:rPr>
          <w:rFonts w:hint="eastAsia" w:asciiTheme="minorEastAsia" w:hAnsiTheme="minorEastAsia" w:eastAsiaTheme="minorEastAsia" w:cstheme="minorEastAsia"/>
          <w:b/>
          <w:bCs/>
          <w:szCs w:val="24"/>
        </w:rPr>
        <w:t>附件八：</w:t>
      </w:r>
    </w:p>
    <w:p w14:paraId="7DAB771F">
      <w:pPr>
        <w:tabs>
          <w:tab w:val="left" w:pos="1260"/>
        </w:tabs>
        <w:snapToGrid w:val="0"/>
        <w:contextualSpacing/>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技术条款正负偏离表</w:t>
      </w:r>
    </w:p>
    <w:p w14:paraId="36FAA635">
      <w:pPr>
        <w:snapToGrid w:val="0"/>
        <w:ind w:firstLine="480" w:firstLineChars="20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（由供应商据实提交，表格不够自行添加）</w:t>
      </w:r>
    </w:p>
    <w:p w14:paraId="40BC4C83">
      <w:pPr>
        <w:snapToGrid w:val="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项目名称：南通师范高等专科学校主校区食堂改造项目设计项目</w:t>
      </w:r>
    </w:p>
    <w:tbl>
      <w:tblPr>
        <w:tblStyle w:val="15"/>
        <w:tblW w:w="875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17BC6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tcBorders>
            <w:vAlign w:val="center"/>
          </w:tcPr>
          <w:p w14:paraId="34E8810D">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63" w:type="dxa"/>
            <w:tcBorders>
              <w:top w:val="single" w:color="auto" w:sz="12" w:space="0"/>
            </w:tcBorders>
            <w:vAlign w:val="center"/>
          </w:tcPr>
          <w:p w14:paraId="4B936C59">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2706" w:type="dxa"/>
            <w:tcBorders>
              <w:top w:val="single" w:color="auto" w:sz="12" w:space="0"/>
            </w:tcBorders>
            <w:vAlign w:val="center"/>
          </w:tcPr>
          <w:p w14:paraId="48704997">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磋商文件要求</w:t>
            </w:r>
          </w:p>
        </w:tc>
        <w:tc>
          <w:tcPr>
            <w:tcW w:w="2720" w:type="dxa"/>
            <w:tcBorders>
              <w:top w:val="single" w:color="auto" w:sz="12" w:space="0"/>
            </w:tcBorders>
            <w:vAlign w:val="center"/>
          </w:tcPr>
          <w:p w14:paraId="2657A639">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响应文件响应情况</w:t>
            </w:r>
          </w:p>
        </w:tc>
        <w:tc>
          <w:tcPr>
            <w:tcW w:w="1417" w:type="dxa"/>
            <w:tcBorders>
              <w:top w:val="single" w:color="auto" w:sz="12" w:space="0"/>
            </w:tcBorders>
          </w:tcPr>
          <w:p w14:paraId="2D39EFC5">
            <w:pPr>
              <w:snapToGrid w:val="0"/>
              <w:jc w:val="center"/>
              <w:rPr>
                <w:rFonts w:asciiTheme="minorEastAsia" w:hAnsiTheme="minorEastAsia" w:eastAsiaTheme="minorEastAsia" w:cstheme="minorEastAsia"/>
                <w:sz w:val="24"/>
                <w:szCs w:val="24"/>
              </w:rPr>
            </w:pPr>
          </w:p>
          <w:p w14:paraId="5BE4D034">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偏离说明</w:t>
            </w:r>
          </w:p>
        </w:tc>
      </w:tr>
      <w:tr w14:paraId="2B93D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Pr>
          <w:p w14:paraId="178C3F1A">
            <w:pPr>
              <w:snapToGrid w:val="0"/>
              <w:jc w:val="center"/>
              <w:rPr>
                <w:rFonts w:asciiTheme="minorEastAsia" w:hAnsiTheme="minorEastAsia" w:eastAsiaTheme="minorEastAsia" w:cstheme="minorEastAsia"/>
                <w:sz w:val="24"/>
                <w:szCs w:val="24"/>
              </w:rPr>
            </w:pPr>
          </w:p>
          <w:p w14:paraId="0F35AAD3">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63" w:type="dxa"/>
            <w:vAlign w:val="center"/>
          </w:tcPr>
          <w:p w14:paraId="5D3F4376">
            <w:pPr>
              <w:snapToGrid w:val="0"/>
              <w:jc w:val="center"/>
              <w:rPr>
                <w:rFonts w:asciiTheme="minorEastAsia" w:hAnsiTheme="minorEastAsia" w:eastAsiaTheme="minorEastAsia" w:cstheme="minorEastAsia"/>
                <w:sz w:val="24"/>
                <w:szCs w:val="24"/>
              </w:rPr>
            </w:pPr>
          </w:p>
        </w:tc>
        <w:tc>
          <w:tcPr>
            <w:tcW w:w="2706" w:type="dxa"/>
            <w:vAlign w:val="center"/>
          </w:tcPr>
          <w:p w14:paraId="687CE1BD">
            <w:pPr>
              <w:snapToGrid w:val="0"/>
              <w:jc w:val="center"/>
              <w:rPr>
                <w:rFonts w:asciiTheme="minorEastAsia" w:hAnsiTheme="minorEastAsia" w:eastAsiaTheme="minorEastAsia" w:cstheme="minorEastAsia"/>
                <w:sz w:val="24"/>
                <w:szCs w:val="24"/>
              </w:rPr>
            </w:pPr>
          </w:p>
        </w:tc>
        <w:tc>
          <w:tcPr>
            <w:tcW w:w="2720" w:type="dxa"/>
            <w:vAlign w:val="center"/>
          </w:tcPr>
          <w:p w14:paraId="0BD4184A">
            <w:pPr>
              <w:snapToGrid w:val="0"/>
              <w:rPr>
                <w:rFonts w:asciiTheme="minorEastAsia" w:hAnsiTheme="minorEastAsia" w:eastAsiaTheme="minorEastAsia" w:cstheme="minorEastAsia"/>
                <w:sz w:val="24"/>
                <w:szCs w:val="24"/>
              </w:rPr>
            </w:pPr>
          </w:p>
        </w:tc>
        <w:tc>
          <w:tcPr>
            <w:tcW w:w="1417" w:type="dxa"/>
          </w:tcPr>
          <w:p w14:paraId="56EF1669">
            <w:pPr>
              <w:snapToGrid w:val="0"/>
              <w:rPr>
                <w:rFonts w:asciiTheme="minorEastAsia" w:hAnsiTheme="minorEastAsia" w:eastAsiaTheme="minorEastAsia" w:cstheme="minorEastAsia"/>
                <w:sz w:val="24"/>
                <w:szCs w:val="24"/>
              </w:rPr>
            </w:pPr>
          </w:p>
        </w:tc>
      </w:tr>
      <w:tr w14:paraId="1C9ED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Pr>
          <w:p w14:paraId="29E83900">
            <w:pPr>
              <w:snapToGrid w:val="0"/>
              <w:jc w:val="center"/>
              <w:rPr>
                <w:rFonts w:asciiTheme="minorEastAsia" w:hAnsiTheme="minorEastAsia" w:eastAsiaTheme="minorEastAsia" w:cstheme="minorEastAsia"/>
                <w:sz w:val="24"/>
                <w:szCs w:val="24"/>
              </w:rPr>
            </w:pPr>
          </w:p>
          <w:p w14:paraId="50661ABE">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263" w:type="dxa"/>
            <w:vAlign w:val="center"/>
          </w:tcPr>
          <w:p w14:paraId="63F6D830">
            <w:pPr>
              <w:snapToGrid w:val="0"/>
              <w:jc w:val="center"/>
              <w:rPr>
                <w:rFonts w:asciiTheme="minorEastAsia" w:hAnsiTheme="minorEastAsia" w:eastAsiaTheme="minorEastAsia" w:cstheme="minorEastAsia"/>
                <w:sz w:val="24"/>
                <w:szCs w:val="24"/>
              </w:rPr>
            </w:pPr>
          </w:p>
        </w:tc>
        <w:tc>
          <w:tcPr>
            <w:tcW w:w="2706" w:type="dxa"/>
            <w:vAlign w:val="center"/>
          </w:tcPr>
          <w:p w14:paraId="2C0C9F14">
            <w:pPr>
              <w:snapToGrid w:val="0"/>
              <w:jc w:val="center"/>
              <w:rPr>
                <w:rFonts w:asciiTheme="minorEastAsia" w:hAnsiTheme="minorEastAsia" w:eastAsiaTheme="minorEastAsia" w:cstheme="minorEastAsia"/>
                <w:sz w:val="24"/>
                <w:szCs w:val="24"/>
              </w:rPr>
            </w:pPr>
          </w:p>
        </w:tc>
        <w:tc>
          <w:tcPr>
            <w:tcW w:w="2720" w:type="dxa"/>
            <w:vAlign w:val="center"/>
          </w:tcPr>
          <w:p w14:paraId="5EC663C4">
            <w:pPr>
              <w:snapToGrid w:val="0"/>
              <w:rPr>
                <w:rFonts w:asciiTheme="minorEastAsia" w:hAnsiTheme="minorEastAsia" w:eastAsiaTheme="minorEastAsia" w:cstheme="minorEastAsia"/>
                <w:sz w:val="24"/>
                <w:szCs w:val="24"/>
              </w:rPr>
            </w:pPr>
          </w:p>
        </w:tc>
        <w:tc>
          <w:tcPr>
            <w:tcW w:w="1417" w:type="dxa"/>
          </w:tcPr>
          <w:p w14:paraId="38B6E545">
            <w:pPr>
              <w:snapToGrid w:val="0"/>
              <w:rPr>
                <w:rFonts w:asciiTheme="minorEastAsia" w:hAnsiTheme="minorEastAsia" w:eastAsiaTheme="minorEastAsia" w:cstheme="minorEastAsia"/>
                <w:sz w:val="24"/>
                <w:szCs w:val="24"/>
              </w:rPr>
            </w:pPr>
          </w:p>
        </w:tc>
      </w:tr>
      <w:tr w14:paraId="7EA96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Pr>
          <w:p w14:paraId="06986015">
            <w:pPr>
              <w:snapToGrid w:val="0"/>
              <w:jc w:val="center"/>
              <w:rPr>
                <w:rFonts w:asciiTheme="minorEastAsia" w:hAnsiTheme="minorEastAsia" w:eastAsiaTheme="minorEastAsia" w:cstheme="minorEastAsia"/>
                <w:sz w:val="24"/>
                <w:szCs w:val="24"/>
              </w:rPr>
            </w:pPr>
          </w:p>
          <w:p w14:paraId="0DA93586">
            <w:pPr>
              <w:snapToGrid w:val="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263" w:type="dxa"/>
            <w:vAlign w:val="center"/>
          </w:tcPr>
          <w:p w14:paraId="5D39BC64">
            <w:pPr>
              <w:snapToGrid w:val="0"/>
              <w:jc w:val="center"/>
              <w:rPr>
                <w:rFonts w:asciiTheme="minorEastAsia" w:hAnsiTheme="minorEastAsia" w:eastAsiaTheme="minorEastAsia" w:cstheme="minorEastAsia"/>
                <w:sz w:val="24"/>
                <w:szCs w:val="24"/>
              </w:rPr>
            </w:pPr>
          </w:p>
        </w:tc>
        <w:tc>
          <w:tcPr>
            <w:tcW w:w="2706" w:type="dxa"/>
            <w:vAlign w:val="center"/>
          </w:tcPr>
          <w:p w14:paraId="1F99374F">
            <w:pPr>
              <w:snapToGrid w:val="0"/>
              <w:ind w:firstLine="480" w:firstLineChars="200"/>
              <w:rPr>
                <w:rFonts w:asciiTheme="minorEastAsia" w:hAnsiTheme="minorEastAsia" w:eastAsiaTheme="minorEastAsia" w:cstheme="minorEastAsia"/>
                <w:sz w:val="24"/>
                <w:szCs w:val="24"/>
              </w:rPr>
            </w:pPr>
          </w:p>
        </w:tc>
        <w:tc>
          <w:tcPr>
            <w:tcW w:w="2720" w:type="dxa"/>
            <w:vAlign w:val="center"/>
          </w:tcPr>
          <w:p w14:paraId="3E2CA125">
            <w:pPr>
              <w:snapToGrid w:val="0"/>
              <w:rPr>
                <w:rFonts w:asciiTheme="minorEastAsia" w:hAnsiTheme="minorEastAsia" w:eastAsiaTheme="minorEastAsia" w:cstheme="minorEastAsia"/>
                <w:sz w:val="24"/>
                <w:szCs w:val="24"/>
              </w:rPr>
            </w:pPr>
          </w:p>
        </w:tc>
        <w:tc>
          <w:tcPr>
            <w:tcW w:w="1417" w:type="dxa"/>
          </w:tcPr>
          <w:p w14:paraId="3D6CC56E">
            <w:pPr>
              <w:snapToGrid w:val="0"/>
              <w:rPr>
                <w:rFonts w:asciiTheme="minorEastAsia" w:hAnsiTheme="minorEastAsia" w:eastAsiaTheme="minorEastAsia" w:cstheme="minorEastAsia"/>
                <w:sz w:val="24"/>
                <w:szCs w:val="24"/>
              </w:rPr>
            </w:pPr>
          </w:p>
        </w:tc>
      </w:tr>
      <w:tr w14:paraId="4C408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649" w:type="dxa"/>
          </w:tcPr>
          <w:p w14:paraId="5565DD6E">
            <w:pPr>
              <w:snapToGrid w:val="0"/>
              <w:jc w:val="center"/>
              <w:rPr>
                <w:rFonts w:asciiTheme="minorEastAsia" w:hAnsiTheme="minorEastAsia" w:eastAsiaTheme="minorEastAsia" w:cstheme="minorEastAsia"/>
                <w:sz w:val="24"/>
                <w:szCs w:val="24"/>
              </w:rPr>
            </w:pPr>
          </w:p>
        </w:tc>
        <w:tc>
          <w:tcPr>
            <w:tcW w:w="1263" w:type="dxa"/>
            <w:vAlign w:val="center"/>
          </w:tcPr>
          <w:p w14:paraId="7C634600">
            <w:pPr>
              <w:snapToGrid w:val="0"/>
              <w:jc w:val="center"/>
              <w:rPr>
                <w:rFonts w:asciiTheme="minorEastAsia" w:hAnsiTheme="minorEastAsia" w:eastAsiaTheme="minorEastAsia" w:cstheme="minorEastAsia"/>
                <w:sz w:val="24"/>
                <w:szCs w:val="24"/>
              </w:rPr>
            </w:pPr>
          </w:p>
        </w:tc>
        <w:tc>
          <w:tcPr>
            <w:tcW w:w="2706" w:type="dxa"/>
            <w:vAlign w:val="center"/>
          </w:tcPr>
          <w:p w14:paraId="6DA57CA3">
            <w:pPr>
              <w:snapToGrid w:val="0"/>
              <w:rPr>
                <w:rFonts w:asciiTheme="minorEastAsia" w:hAnsiTheme="minorEastAsia" w:eastAsiaTheme="minorEastAsia" w:cstheme="minorEastAsia"/>
                <w:sz w:val="24"/>
                <w:szCs w:val="24"/>
              </w:rPr>
            </w:pPr>
          </w:p>
        </w:tc>
        <w:tc>
          <w:tcPr>
            <w:tcW w:w="2720" w:type="dxa"/>
            <w:vAlign w:val="center"/>
          </w:tcPr>
          <w:p w14:paraId="5318FFC7">
            <w:pPr>
              <w:snapToGrid w:val="0"/>
              <w:rPr>
                <w:rFonts w:asciiTheme="minorEastAsia" w:hAnsiTheme="minorEastAsia" w:eastAsiaTheme="minorEastAsia" w:cstheme="minorEastAsia"/>
                <w:sz w:val="24"/>
                <w:szCs w:val="24"/>
              </w:rPr>
            </w:pPr>
          </w:p>
        </w:tc>
        <w:tc>
          <w:tcPr>
            <w:tcW w:w="1417" w:type="dxa"/>
          </w:tcPr>
          <w:p w14:paraId="193F9CE9">
            <w:pPr>
              <w:snapToGrid w:val="0"/>
              <w:rPr>
                <w:rFonts w:asciiTheme="minorEastAsia" w:hAnsiTheme="minorEastAsia" w:eastAsiaTheme="minorEastAsia" w:cstheme="minorEastAsia"/>
                <w:sz w:val="24"/>
                <w:szCs w:val="24"/>
              </w:rPr>
            </w:pPr>
          </w:p>
        </w:tc>
      </w:tr>
      <w:tr w14:paraId="3001A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649" w:type="dxa"/>
            <w:tcBorders>
              <w:bottom w:val="single" w:color="auto" w:sz="12" w:space="0"/>
            </w:tcBorders>
          </w:tcPr>
          <w:p w14:paraId="050402C0">
            <w:pPr>
              <w:snapToGrid w:val="0"/>
              <w:jc w:val="center"/>
              <w:rPr>
                <w:rFonts w:asciiTheme="minorEastAsia" w:hAnsiTheme="minorEastAsia" w:eastAsiaTheme="minorEastAsia" w:cstheme="minorEastAsia"/>
                <w:sz w:val="24"/>
                <w:szCs w:val="24"/>
              </w:rPr>
            </w:pPr>
          </w:p>
        </w:tc>
        <w:tc>
          <w:tcPr>
            <w:tcW w:w="1263" w:type="dxa"/>
            <w:tcBorders>
              <w:bottom w:val="single" w:color="auto" w:sz="12" w:space="0"/>
            </w:tcBorders>
            <w:vAlign w:val="center"/>
          </w:tcPr>
          <w:p w14:paraId="144CEE65">
            <w:pPr>
              <w:snapToGrid w:val="0"/>
              <w:jc w:val="center"/>
              <w:rPr>
                <w:rFonts w:asciiTheme="minorEastAsia" w:hAnsiTheme="minorEastAsia" w:eastAsiaTheme="minorEastAsia" w:cstheme="minorEastAsia"/>
                <w:sz w:val="24"/>
                <w:szCs w:val="24"/>
              </w:rPr>
            </w:pPr>
          </w:p>
        </w:tc>
        <w:tc>
          <w:tcPr>
            <w:tcW w:w="2706" w:type="dxa"/>
            <w:tcBorders>
              <w:bottom w:val="single" w:color="auto" w:sz="12" w:space="0"/>
            </w:tcBorders>
            <w:vAlign w:val="center"/>
          </w:tcPr>
          <w:p w14:paraId="0D458C3C">
            <w:pPr>
              <w:snapToGrid w:val="0"/>
              <w:rPr>
                <w:rFonts w:asciiTheme="minorEastAsia" w:hAnsiTheme="minorEastAsia" w:eastAsiaTheme="minorEastAsia" w:cstheme="minorEastAsia"/>
                <w:sz w:val="24"/>
                <w:szCs w:val="24"/>
              </w:rPr>
            </w:pPr>
          </w:p>
        </w:tc>
        <w:tc>
          <w:tcPr>
            <w:tcW w:w="2720" w:type="dxa"/>
            <w:tcBorders>
              <w:bottom w:val="single" w:color="auto" w:sz="12" w:space="0"/>
            </w:tcBorders>
            <w:vAlign w:val="center"/>
          </w:tcPr>
          <w:p w14:paraId="476C3A2F">
            <w:pPr>
              <w:snapToGrid w:val="0"/>
              <w:rPr>
                <w:rFonts w:asciiTheme="minorEastAsia" w:hAnsiTheme="minorEastAsia" w:eastAsiaTheme="minorEastAsia" w:cstheme="minorEastAsia"/>
                <w:sz w:val="24"/>
                <w:szCs w:val="24"/>
              </w:rPr>
            </w:pPr>
          </w:p>
        </w:tc>
        <w:tc>
          <w:tcPr>
            <w:tcW w:w="1417" w:type="dxa"/>
            <w:tcBorders>
              <w:bottom w:val="single" w:color="auto" w:sz="12" w:space="0"/>
            </w:tcBorders>
          </w:tcPr>
          <w:p w14:paraId="4FD3166E">
            <w:pPr>
              <w:snapToGrid w:val="0"/>
              <w:rPr>
                <w:rFonts w:asciiTheme="minorEastAsia" w:hAnsiTheme="minorEastAsia" w:eastAsiaTheme="minorEastAsia" w:cstheme="minorEastAsia"/>
                <w:sz w:val="24"/>
                <w:szCs w:val="24"/>
              </w:rPr>
            </w:pPr>
          </w:p>
        </w:tc>
      </w:tr>
    </w:tbl>
    <w:p w14:paraId="7437D234">
      <w:pPr>
        <w:snapToGrid w:val="0"/>
        <w:rPr>
          <w:rFonts w:asciiTheme="minorEastAsia" w:hAnsiTheme="minorEastAsia" w:eastAsiaTheme="minorEastAsia" w:cstheme="minorEastAsia"/>
          <w:sz w:val="24"/>
          <w:szCs w:val="24"/>
          <w:u w:val="single"/>
        </w:rPr>
      </w:pPr>
    </w:p>
    <w:p w14:paraId="46CF6542">
      <w:pPr>
        <w:pStyle w:val="7"/>
        <w:snapToGrid w:val="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w:t>
      </w:r>
    </w:p>
    <w:p w14:paraId="2EAD61F8">
      <w:pPr>
        <w:pStyle w:val="7"/>
        <w:snapToGrid w:val="0"/>
        <w:ind w:firstLine="482" w:firstLineChars="20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1、供应商提交的响应文件中与磋商文件第三部分“项目需求说明”中的商务、技术部分的要求有不同时，应逐条填列在偏离表中，否则将认为供应商接受磋商文件的所有要求。完全响应部分不填。</w:t>
      </w:r>
    </w:p>
    <w:p w14:paraId="32C56354">
      <w:pPr>
        <w:pStyle w:val="7"/>
        <w:snapToGrid w:val="0"/>
        <w:ind w:firstLine="482" w:firstLineChars="20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2、“偏离说明”一栏选择“正偏离”、“负偏离”进行填写。正偏离的确认和负偏离的是否响应磋商文件，经三分之二评委认定。</w:t>
      </w:r>
    </w:p>
    <w:p w14:paraId="4CBD5C73">
      <w:pPr>
        <w:snapToGrid w:val="0"/>
        <w:ind w:firstLine="482" w:firstLineChars="200"/>
        <w:contextualSpacing/>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3、供应商如果虚假响应，将承担被没收全额投标保证金的风险。</w:t>
      </w:r>
    </w:p>
    <w:p w14:paraId="40521373">
      <w:pPr>
        <w:snapToGrid w:val="0"/>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4、供应商若提供其他增值服务，可以在表中自行据实填写。</w:t>
      </w:r>
    </w:p>
    <w:p w14:paraId="4FCC9CA3">
      <w:pPr>
        <w:pStyle w:val="26"/>
        <w:snapToGrid w:val="0"/>
        <w:spacing w:before="156" w:line="240" w:lineRule="auto"/>
        <w:ind w:firstLine="0"/>
        <w:rPr>
          <w:rFonts w:asciiTheme="minorEastAsia" w:hAnsiTheme="minorEastAsia" w:eastAsiaTheme="minorEastAsia" w:cstheme="minorEastAsia"/>
          <w:szCs w:val="24"/>
        </w:rPr>
        <w:sectPr>
          <w:pgSz w:w="11906" w:h="16838"/>
          <w:pgMar w:top="1440" w:right="1800" w:bottom="1440" w:left="1800" w:header="851" w:footer="992" w:gutter="0"/>
          <w:cols w:space="425" w:num="1"/>
          <w:docGrid w:type="lines" w:linePitch="312" w:charSpace="0"/>
        </w:sectPr>
      </w:pPr>
    </w:p>
    <w:p w14:paraId="55775EC2">
      <w:pPr>
        <w:pStyle w:val="29"/>
        <w:snapToGrid w:val="0"/>
        <w:contextualSpacing/>
        <w:jc w:val="both"/>
        <w:rPr>
          <w:rFonts w:asciiTheme="minorEastAsia" w:hAnsiTheme="minorEastAsia" w:eastAsiaTheme="minorEastAsia" w:cstheme="minorEastAsia"/>
          <w:b/>
          <w:bCs/>
          <w:szCs w:val="24"/>
        </w:rPr>
      </w:pPr>
      <w:bookmarkStart w:id="77" w:name="_Toc29768_WPSOffice_Level1"/>
      <w:bookmarkStart w:id="78" w:name="_Toc14152_WPSOffice_Level1"/>
    </w:p>
    <w:p w14:paraId="00830585">
      <w:pPr>
        <w:pStyle w:val="29"/>
        <w:snapToGrid w:val="0"/>
        <w:contextualSpacing/>
        <w:jc w:val="both"/>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附件九：</w:t>
      </w:r>
      <w:bookmarkEnd w:id="77"/>
      <w:bookmarkEnd w:id="78"/>
    </w:p>
    <w:p w14:paraId="6C4CDA28">
      <w:pPr>
        <w:snapToGrid w:val="0"/>
        <w:ind w:firstLine="480" w:firstLineChars="200"/>
        <w:rPr>
          <w:rFonts w:ascii="仿宋" w:hAnsi="仿宋" w:eastAsia="仿宋"/>
          <w:bCs/>
          <w:sz w:val="24"/>
          <w:szCs w:val="24"/>
        </w:rPr>
      </w:pPr>
      <w:r>
        <w:rPr>
          <w:rFonts w:hint="eastAsia" w:ascii="仿宋" w:hAnsi="仿宋" w:eastAsia="仿宋"/>
          <w:bCs/>
          <w:sz w:val="24"/>
          <w:szCs w:val="24"/>
        </w:rPr>
        <w:t>（一）小微企业声明函</w:t>
      </w:r>
    </w:p>
    <w:p w14:paraId="303178B6">
      <w:pPr>
        <w:snapToGrid w:val="0"/>
        <w:jc w:val="center"/>
        <w:rPr>
          <w:rFonts w:ascii="方正小标宋简体" w:eastAsia="方正小标宋简体"/>
          <w:i/>
          <w:sz w:val="24"/>
          <w:szCs w:val="24"/>
        </w:rPr>
      </w:pPr>
      <w:r>
        <w:rPr>
          <w:rFonts w:hint="eastAsia" w:ascii="方正小标宋简体" w:eastAsia="方正小标宋简体"/>
          <w:sz w:val="24"/>
          <w:szCs w:val="24"/>
        </w:rPr>
        <w:t>小微企业声明函</w:t>
      </w:r>
    </w:p>
    <w:p w14:paraId="71F011B8">
      <w:pPr>
        <w:snapToGrid w:val="0"/>
        <w:ind w:firstLine="480" w:firstLineChars="200"/>
        <w:rPr>
          <w:rFonts w:ascii="仿宋" w:hAnsi="仿宋" w:eastAsia="仿宋"/>
          <w:sz w:val="24"/>
          <w:szCs w:val="24"/>
        </w:rPr>
      </w:pPr>
      <w:r>
        <w:rPr>
          <w:rFonts w:hint="eastAsia" w:ascii="仿宋" w:hAnsi="仿宋" w:eastAsia="仿宋"/>
          <w:sz w:val="24"/>
          <w:szCs w:val="24"/>
        </w:rPr>
        <w:t>本公司郑重声明，根据《政府采购促进中小企业发展暂行办法》</w:t>
      </w:r>
      <w:r>
        <w:rPr>
          <w:rFonts w:ascii="仿宋" w:hAnsi="仿宋" w:eastAsia="仿宋"/>
          <w:sz w:val="24"/>
          <w:szCs w:val="24"/>
        </w:rPr>
        <w:t>(</w:t>
      </w:r>
      <w:r>
        <w:rPr>
          <w:rFonts w:hint="eastAsia" w:ascii="仿宋" w:hAnsi="仿宋" w:eastAsia="仿宋"/>
          <w:sz w:val="24"/>
          <w:szCs w:val="24"/>
        </w:rPr>
        <w:t>财库</w:t>
      </w:r>
      <w:r>
        <w:rPr>
          <w:rFonts w:ascii="仿宋" w:hAnsi="仿宋" w:eastAsia="仿宋"/>
          <w:sz w:val="24"/>
          <w:szCs w:val="24"/>
        </w:rPr>
        <w:t>[2011]181</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的规定，本公司为</w:t>
      </w:r>
      <w:r>
        <w:rPr>
          <w:rFonts w:ascii="仿宋" w:hAnsi="仿宋" w:eastAsia="仿宋"/>
          <w:sz w:val="24"/>
          <w:szCs w:val="24"/>
        </w:rPr>
        <w:t xml:space="preserve">       (</w:t>
      </w:r>
      <w:r>
        <w:rPr>
          <w:rFonts w:hint="eastAsia" w:ascii="仿宋" w:hAnsi="仿宋" w:eastAsia="仿宋"/>
          <w:sz w:val="24"/>
          <w:szCs w:val="24"/>
        </w:rPr>
        <w:t>请填写：小型、微型</w:t>
      </w:r>
      <w:r>
        <w:rPr>
          <w:rFonts w:ascii="仿宋" w:hAnsi="仿宋" w:eastAsia="仿宋"/>
          <w:sz w:val="24"/>
          <w:szCs w:val="24"/>
        </w:rPr>
        <w:t>)</w:t>
      </w:r>
      <w:r>
        <w:rPr>
          <w:rFonts w:hint="eastAsia" w:ascii="仿宋" w:hAnsi="仿宋" w:eastAsia="仿宋"/>
          <w:sz w:val="24"/>
          <w:szCs w:val="24"/>
        </w:rPr>
        <w:t>企业。即，本公司同时满足以下条件：</w:t>
      </w:r>
    </w:p>
    <w:p w14:paraId="7AB6591D">
      <w:pPr>
        <w:snapToGrid w:val="0"/>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、根据《工业和信息化部、国家统计局、国家发展和改革委员会、财政部关于印发中小企业划型标准规定的通知》</w:t>
      </w:r>
      <w:r>
        <w:rPr>
          <w:rFonts w:ascii="仿宋" w:hAnsi="仿宋" w:eastAsia="仿宋"/>
          <w:sz w:val="24"/>
          <w:szCs w:val="24"/>
        </w:rPr>
        <w:t>(</w:t>
      </w:r>
      <w:r>
        <w:rPr>
          <w:rFonts w:hint="eastAsia" w:ascii="仿宋" w:hAnsi="仿宋" w:eastAsia="仿宋"/>
          <w:sz w:val="24"/>
          <w:szCs w:val="24"/>
        </w:rPr>
        <w:t>工信部联企业</w:t>
      </w:r>
      <w:r>
        <w:rPr>
          <w:rFonts w:ascii="仿宋" w:hAnsi="仿宋" w:eastAsia="仿宋"/>
          <w:sz w:val="24"/>
          <w:szCs w:val="24"/>
        </w:rPr>
        <w:t>[2011]300</w:t>
      </w:r>
      <w:r>
        <w:rPr>
          <w:rFonts w:hint="eastAsia" w:ascii="仿宋" w:hAnsi="仿宋" w:eastAsia="仿宋"/>
          <w:sz w:val="24"/>
          <w:szCs w:val="24"/>
        </w:rPr>
        <w:t>号</w:t>
      </w:r>
      <w:r>
        <w:rPr>
          <w:rFonts w:ascii="仿宋" w:hAnsi="仿宋" w:eastAsia="仿宋"/>
          <w:sz w:val="24"/>
          <w:szCs w:val="24"/>
        </w:rPr>
        <w:t>)</w:t>
      </w:r>
      <w:r>
        <w:rPr>
          <w:rFonts w:hint="eastAsia" w:ascii="仿宋" w:hAnsi="仿宋" w:eastAsia="仿宋"/>
          <w:sz w:val="24"/>
          <w:szCs w:val="24"/>
        </w:rPr>
        <w:t>规定的划分标准，本公司为</w:t>
      </w:r>
      <w:r>
        <w:rPr>
          <w:rFonts w:ascii="仿宋" w:hAnsi="仿宋" w:eastAsia="仿宋"/>
          <w:sz w:val="24"/>
          <w:szCs w:val="24"/>
        </w:rPr>
        <w:t xml:space="preserve">         (</w:t>
      </w:r>
      <w:r>
        <w:rPr>
          <w:rFonts w:hint="eastAsia" w:ascii="仿宋" w:hAnsi="仿宋" w:eastAsia="仿宋"/>
          <w:sz w:val="24"/>
          <w:szCs w:val="24"/>
        </w:rPr>
        <w:t>请填写：小型、微型</w:t>
      </w:r>
      <w:r>
        <w:rPr>
          <w:rFonts w:ascii="仿宋" w:hAnsi="仿宋" w:eastAsia="仿宋"/>
          <w:sz w:val="24"/>
          <w:szCs w:val="24"/>
        </w:rPr>
        <w:t>)</w:t>
      </w:r>
      <w:r>
        <w:rPr>
          <w:rFonts w:hint="eastAsia" w:ascii="仿宋" w:hAnsi="仿宋" w:eastAsia="仿宋"/>
          <w:sz w:val="24"/>
          <w:szCs w:val="24"/>
        </w:rPr>
        <w:t>企业。</w:t>
      </w:r>
    </w:p>
    <w:p w14:paraId="7E44CDEE">
      <w:pPr>
        <w:snapToGrid w:val="0"/>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、本公司参加南通师范高等专科学校（项目编号为</w:t>
      </w:r>
      <w:r>
        <w:rPr>
          <w:rFonts w:ascii="仿宋" w:hAnsi="仿宋" w:eastAsia="仿宋"/>
          <w:sz w:val="24"/>
          <w:szCs w:val="24"/>
          <w:u w:val="single"/>
        </w:rPr>
        <w:t xml:space="preserve">   </w:t>
      </w:r>
      <w:r>
        <w:rPr>
          <w:rFonts w:hint="eastAsia" w:ascii="仿宋" w:hAnsi="仿宋" w:eastAsia="仿宋"/>
          <w:sz w:val="24"/>
          <w:szCs w:val="24"/>
        </w:rPr>
        <w:t>）的</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项目政府采购活动提供本企业服务。</w:t>
      </w:r>
    </w:p>
    <w:p w14:paraId="79167AFB">
      <w:pPr>
        <w:snapToGrid w:val="0"/>
        <w:ind w:firstLine="480" w:firstLineChars="200"/>
        <w:rPr>
          <w:rFonts w:ascii="仿宋" w:hAnsi="仿宋" w:eastAsia="仿宋"/>
          <w:sz w:val="24"/>
          <w:szCs w:val="24"/>
        </w:rPr>
      </w:pPr>
      <w:r>
        <w:rPr>
          <w:rFonts w:hint="eastAsia" w:ascii="仿宋" w:hAnsi="仿宋" w:eastAsia="仿宋"/>
          <w:sz w:val="24"/>
          <w:szCs w:val="24"/>
        </w:rPr>
        <w:t>本公司对上述声明的真实性负责。如有虚假，将依法承担相应责任。</w:t>
      </w:r>
    </w:p>
    <w:p w14:paraId="18ADFCD8">
      <w:pPr>
        <w:snapToGrid w:val="0"/>
        <w:ind w:right="560" w:firstLine="2400" w:firstLineChars="1000"/>
        <w:rPr>
          <w:rFonts w:ascii="仿宋" w:hAnsi="仿宋" w:eastAsia="仿宋"/>
          <w:sz w:val="24"/>
          <w:szCs w:val="24"/>
        </w:rPr>
      </w:pPr>
    </w:p>
    <w:p w14:paraId="4A9C4C88">
      <w:pPr>
        <w:snapToGrid w:val="0"/>
        <w:ind w:right="560" w:firstLine="4080" w:firstLineChars="1700"/>
        <w:rPr>
          <w:rFonts w:ascii="仿宋" w:hAnsi="仿宋" w:eastAsia="仿宋"/>
          <w:sz w:val="24"/>
          <w:szCs w:val="24"/>
        </w:rPr>
      </w:pPr>
      <w:r>
        <w:rPr>
          <w:rFonts w:hint="eastAsia" w:ascii="仿宋" w:hAnsi="仿宋" w:eastAsia="仿宋"/>
          <w:sz w:val="24"/>
          <w:szCs w:val="24"/>
        </w:rPr>
        <w:t>供应商全称（盖章）：</w:t>
      </w:r>
    </w:p>
    <w:p w14:paraId="25654708">
      <w:pPr>
        <w:snapToGrid w:val="0"/>
        <w:ind w:right="480" w:firstLine="5160" w:firstLineChars="2150"/>
        <w:rPr>
          <w:rFonts w:ascii="仿宋" w:hAnsi="仿宋" w:eastAsia="仿宋"/>
          <w:sz w:val="24"/>
          <w:szCs w:val="24"/>
        </w:rPr>
      </w:pPr>
      <w:r>
        <w:rPr>
          <w:rFonts w:hint="eastAsia" w:ascii="仿宋" w:hAnsi="仿宋" w:eastAsia="仿宋"/>
          <w:sz w:val="24"/>
          <w:szCs w:val="24"/>
        </w:rPr>
        <w:t>日</w:t>
      </w:r>
      <w:r>
        <w:rPr>
          <w:rFonts w:ascii="仿宋" w:hAnsi="仿宋" w:eastAsia="仿宋"/>
          <w:sz w:val="24"/>
          <w:szCs w:val="24"/>
        </w:rPr>
        <w:t xml:space="preserve">  </w:t>
      </w:r>
      <w:r>
        <w:rPr>
          <w:rFonts w:hint="eastAsia" w:ascii="仿宋" w:hAnsi="仿宋" w:eastAsia="仿宋"/>
          <w:sz w:val="24"/>
          <w:szCs w:val="24"/>
        </w:rPr>
        <w:t>期：</w:t>
      </w:r>
    </w:p>
    <w:p w14:paraId="77229A31">
      <w:pPr>
        <w:snapToGrid w:val="0"/>
        <w:ind w:firstLine="480" w:firstLineChars="200"/>
        <w:rPr>
          <w:rFonts w:ascii="宋体" w:hAnsi="宋体"/>
          <w:sz w:val="24"/>
          <w:szCs w:val="24"/>
        </w:rPr>
      </w:pPr>
    </w:p>
    <w:p w14:paraId="06066B00">
      <w:pPr>
        <w:snapToGrid w:val="0"/>
        <w:ind w:right="560"/>
        <w:rPr>
          <w:rFonts w:asciiTheme="minorEastAsia" w:hAnsiTheme="minorEastAsia" w:eastAsiaTheme="minorEastAsia" w:cstheme="minorEastAsia"/>
        </w:rPr>
      </w:pPr>
      <w:r>
        <w:rPr>
          <w:rFonts w:hint="eastAsia" w:ascii="仿宋" w:hAnsi="仿宋" w:eastAsia="仿宋"/>
          <w:sz w:val="24"/>
          <w:szCs w:val="24"/>
        </w:rPr>
        <w:t>注意：供应商应将此声明函放在报价文件中，如不提供此声明函，价格将不做相应扣除。</w:t>
      </w:r>
      <w:r>
        <w:rPr>
          <w:rFonts w:ascii="方正小标宋简体" w:hAnsi="黑体" w:eastAsia="方正小标宋简体"/>
          <w:bCs/>
          <w:kern w:val="0"/>
          <w:sz w:val="24"/>
          <w:szCs w:val="24"/>
        </w:rPr>
        <w:tab/>
      </w:r>
    </w:p>
    <w:p w14:paraId="3F687494">
      <w:pPr>
        <w:pStyle w:val="29"/>
        <w:snapToGrid w:val="0"/>
        <w:contextualSpacing/>
        <w:jc w:val="center"/>
        <w:rPr>
          <w:rFonts w:ascii="方正小标宋简体" w:hAnsi="黑体" w:eastAsia="方正小标宋简体"/>
          <w:bCs/>
          <w:szCs w:val="24"/>
        </w:rPr>
      </w:pPr>
      <w:r>
        <w:rPr>
          <w:rFonts w:hint="eastAsia" w:asciiTheme="minorEastAsia" w:hAnsiTheme="minorEastAsia" w:eastAsiaTheme="minorEastAsia" w:cstheme="minorEastAsia"/>
          <w:b/>
          <w:bCs/>
          <w:szCs w:val="24"/>
        </w:rPr>
        <w:br w:type="page"/>
      </w:r>
      <w:r>
        <w:rPr>
          <w:rFonts w:hint="eastAsia" w:ascii="方正小标宋简体" w:hAnsi="黑体" w:eastAsia="方正小标宋简体"/>
          <w:bCs/>
          <w:sz w:val="44"/>
          <w:szCs w:val="44"/>
        </w:rPr>
        <w:t>报    价    表</w:t>
      </w:r>
    </w:p>
    <w:tbl>
      <w:tblPr>
        <w:tblStyle w:val="15"/>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52"/>
        <w:gridCol w:w="7847"/>
      </w:tblGrid>
      <w:tr w14:paraId="45EC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6" w:hRule="atLeast"/>
          <w:jc w:val="center"/>
        </w:trPr>
        <w:tc>
          <w:tcPr>
            <w:tcW w:w="9199" w:type="dxa"/>
            <w:gridSpan w:val="2"/>
            <w:noWrap/>
            <w:vAlign w:val="center"/>
          </w:tcPr>
          <w:p w14:paraId="4823729B">
            <w:pPr>
              <w:snapToGrid w:val="0"/>
              <w:ind w:firstLine="720" w:firstLineChars="300"/>
              <w:jc w:val="left"/>
              <w:rPr>
                <w:rFonts w:ascii="仿宋" w:hAnsi="仿宋" w:eastAsia="仿宋" w:cs="宋体"/>
                <w:kern w:val="0"/>
                <w:sz w:val="24"/>
                <w:szCs w:val="24"/>
              </w:rPr>
            </w:pPr>
            <w:r>
              <w:rPr>
                <w:rFonts w:hint="eastAsia" w:ascii="仿宋" w:hAnsi="仿宋" w:eastAsia="仿宋" w:cs="宋体"/>
                <w:sz w:val="24"/>
                <w:szCs w:val="24"/>
              </w:rPr>
              <w:t>项目名称：</w:t>
            </w:r>
            <w:r>
              <w:rPr>
                <w:rFonts w:hint="eastAsia" w:asciiTheme="minorEastAsia" w:hAnsiTheme="minorEastAsia" w:eastAsiaTheme="minorEastAsia" w:cstheme="minorEastAsia"/>
                <w:sz w:val="24"/>
                <w:szCs w:val="24"/>
              </w:rPr>
              <w:t xml:space="preserve"> 南通师范高等专科学校主校区食堂改造项目设计项目</w:t>
            </w:r>
          </w:p>
        </w:tc>
      </w:tr>
      <w:tr w14:paraId="495D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0" w:hRule="atLeast"/>
          <w:jc w:val="center"/>
        </w:trPr>
        <w:tc>
          <w:tcPr>
            <w:tcW w:w="1352" w:type="dxa"/>
            <w:noWrap/>
            <w:vAlign w:val="center"/>
          </w:tcPr>
          <w:p w14:paraId="42201AA2">
            <w:pPr>
              <w:widowControl/>
              <w:snapToGrid w:val="0"/>
              <w:jc w:val="center"/>
              <w:rPr>
                <w:rFonts w:ascii="仿宋" w:hAnsi="仿宋" w:eastAsia="仿宋" w:cs="宋体"/>
                <w:sz w:val="24"/>
                <w:szCs w:val="24"/>
              </w:rPr>
            </w:pPr>
            <w:r>
              <w:rPr>
                <w:rFonts w:hint="eastAsia" w:ascii="仿宋" w:hAnsi="仿宋" w:eastAsia="仿宋" w:cs="宋体"/>
                <w:sz w:val="24"/>
                <w:szCs w:val="24"/>
              </w:rPr>
              <w:t>第一次报价</w:t>
            </w:r>
          </w:p>
          <w:p w14:paraId="4D7BB12A">
            <w:pPr>
              <w:snapToGrid w:val="0"/>
              <w:jc w:val="center"/>
              <w:rPr>
                <w:rFonts w:ascii="仿宋" w:hAnsi="仿宋" w:eastAsia="仿宋" w:cs="宋体"/>
                <w:b/>
                <w:sz w:val="24"/>
                <w:szCs w:val="24"/>
              </w:rPr>
            </w:pPr>
            <w:r>
              <w:rPr>
                <w:rFonts w:hint="eastAsia" w:ascii="仿宋" w:hAnsi="仿宋" w:eastAsia="仿宋" w:cs="宋体"/>
                <w:b/>
                <w:sz w:val="24"/>
                <w:szCs w:val="24"/>
              </w:rPr>
              <w:t>密封前</w:t>
            </w:r>
          </w:p>
          <w:p w14:paraId="5566E1C7">
            <w:pPr>
              <w:snapToGrid w:val="0"/>
              <w:jc w:val="center"/>
              <w:rPr>
                <w:rFonts w:ascii="仿宋" w:hAnsi="仿宋" w:eastAsia="仿宋"/>
                <w:sz w:val="24"/>
                <w:szCs w:val="24"/>
              </w:rPr>
            </w:pPr>
            <w:r>
              <w:rPr>
                <w:rFonts w:hint="eastAsia" w:ascii="仿宋" w:hAnsi="仿宋" w:eastAsia="仿宋" w:cs="宋体"/>
                <w:b/>
                <w:sz w:val="24"/>
                <w:szCs w:val="24"/>
              </w:rPr>
              <w:t>填写</w:t>
            </w:r>
          </w:p>
        </w:tc>
        <w:tc>
          <w:tcPr>
            <w:tcW w:w="7847" w:type="dxa"/>
            <w:noWrap/>
            <w:vAlign w:val="center"/>
          </w:tcPr>
          <w:p w14:paraId="4CDD05A9">
            <w:pPr>
              <w:snapToGrid w:val="0"/>
              <w:jc w:val="left"/>
              <w:rPr>
                <w:rFonts w:ascii="仿宋" w:hAnsi="仿宋" w:eastAsia="仿宋"/>
                <w:sz w:val="24"/>
                <w:szCs w:val="24"/>
              </w:rPr>
            </w:pPr>
            <w:r>
              <w:rPr>
                <w:rFonts w:hint="eastAsia" w:ascii="仿宋" w:hAnsi="仿宋" w:eastAsia="仿宋" w:cs="宋体"/>
                <w:kern w:val="0"/>
                <w:sz w:val="24"/>
                <w:szCs w:val="24"/>
              </w:rPr>
              <w:t>大写：                                     小写</w:t>
            </w:r>
            <w:r>
              <w:rPr>
                <w:rFonts w:ascii="仿宋" w:eastAsia="仿宋" w:cs="宋体"/>
                <w:kern w:val="0"/>
                <w:sz w:val="24"/>
                <w:szCs w:val="24"/>
              </w:rPr>
              <w:t>¥</w:t>
            </w:r>
            <w:r>
              <w:rPr>
                <w:rFonts w:hint="eastAsia" w:ascii="仿宋" w:hAnsi="仿宋" w:eastAsia="仿宋" w:cs="宋体"/>
                <w:kern w:val="0"/>
                <w:sz w:val="24"/>
                <w:szCs w:val="24"/>
              </w:rPr>
              <w:t xml:space="preserve">    </w:t>
            </w:r>
            <w:r>
              <w:rPr>
                <w:rFonts w:ascii="仿宋" w:hAnsi="仿宋" w:eastAsia="仿宋" w:cs="宋体"/>
                <w:kern w:val="0"/>
                <w:sz w:val="24"/>
                <w:szCs w:val="24"/>
              </w:rPr>
              <w:t xml:space="preserve">        </w:t>
            </w:r>
            <w:r>
              <w:rPr>
                <w:rFonts w:hint="eastAsia" w:ascii="仿宋" w:hAnsi="仿宋" w:eastAsia="仿宋" w:cs="宋体"/>
                <w:kern w:val="0"/>
                <w:sz w:val="24"/>
                <w:szCs w:val="24"/>
              </w:rPr>
              <w:t>元</w:t>
            </w:r>
          </w:p>
        </w:tc>
      </w:tr>
      <w:tr w14:paraId="603E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42" w:hRule="atLeast"/>
          <w:jc w:val="center"/>
        </w:trPr>
        <w:tc>
          <w:tcPr>
            <w:tcW w:w="1352" w:type="dxa"/>
            <w:noWrap/>
            <w:vAlign w:val="center"/>
          </w:tcPr>
          <w:p w14:paraId="2AAC67A4">
            <w:pPr>
              <w:widowControl/>
              <w:snapToGrid w:val="0"/>
              <w:jc w:val="center"/>
              <w:rPr>
                <w:rFonts w:ascii="仿宋" w:hAnsi="仿宋" w:eastAsia="仿宋" w:cs="宋体"/>
                <w:sz w:val="24"/>
                <w:szCs w:val="24"/>
              </w:rPr>
            </w:pPr>
            <w:r>
              <w:rPr>
                <w:rFonts w:hint="eastAsia" w:ascii="仿宋" w:hAnsi="仿宋" w:eastAsia="仿宋" w:cs="宋体"/>
                <w:sz w:val="24"/>
                <w:szCs w:val="24"/>
              </w:rPr>
              <w:t>第二次报价</w:t>
            </w:r>
          </w:p>
          <w:p w14:paraId="39BBC0D1">
            <w:pPr>
              <w:snapToGrid w:val="0"/>
              <w:jc w:val="center"/>
              <w:rPr>
                <w:rFonts w:ascii="仿宋" w:hAnsi="仿宋" w:eastAsia="仿宋" w:cs="宋体"/>
                <w:b/>
                <w:sz w:val="24"/>
                <w:szCs w:val="24"/>
              </w:rPr>
            </w:pPr>
            <w:r>
              <w:rPr>
                <w:rFonts w:hint="eastAsia" w:ascii="仿宋" w:hAnsi="仿宋" w:eastAsia="仿宋" w:cs="宋体"/>
                <w:b/>
                <w:sz w:val="24"/>
                <w:szCs w:val="24"/>
              </w:rPr>
              <w:t>开标现场</w:t>
            </w:r>
          </w:p>
          <w:p w14:paraId="06CE0EA1">
            <w:pPr>
              <w:snapToGrid w:val="0"/>
              <w:jc w:val="center"/>
              <w:rPr>
                <w:rFonts w:ascii="仿宋" w:hAnsi="仿宋" w:eastAsia="仿宋"/>
                <w:sz w:val="24"/>
                <w:szCs w:val="24"/>
              </w:rPr>
            </w:pPr>
            <w:r>
              <w:rPr>
                <w:rFonts w:hint="eastAsia" w:ascii="仿宋" w:hAnsi="仿宋" w:eastAsia="仿宋" w:cs="宋体"/>
                <w:b/>
                <w:sz w:val="24"/>
                <w:szCs w:val="24"/>
              </w:rPr>
              <w:t>填写</w:t>
            </w:r>
          </w:p>
        </w:tc>
        <w:tc>
          <w:tcPr>
            <w:tcW w:w="7847" w:type="dxa"/>
            <w:noWrap/>
            <w:vAlign w:val="center"/>
          </w:tcPr>
          <w:p w14:paraId="1F4F00FF">
            <w:pPr>
              <w:snapToGrid w:val="0"/>
              <w:jc w:val="left"/>
              <w:rPr>
                <w:rFonts w:ascii="仿宋" w:hAnsi="仿宋" w:eastAsia="仿宋" w:cs="宋体"/>
                <w:kern w:val="0"/>
                <w:sz w:val="24"/>
                <w:szCs w:val="24"/>
              </w:rPr>
            </w:pPr>
            <w:r>
              <w:rPr>
                <w:rFonts w:hint="eastAsia" w:ascii="仿宋" w:hAnsi="仿宋" w:eastAsia="仿宋" w:cs="宋体"/>
                <w:kern w:val="0"/>
                <w:sz w:val="24"/>
                <w:szCs w:val="24"/>
              </w:rPr>
              <w:t>大写：                                     小写</w:t>
            </w:r>
            <w:r>
              <w:rPr>
                <w:rFonts w:hint="eastAsia" w:ascii="宋体" w:hAnsi="宋体" w:cs="宋体"/>
                <w:kern w:val="0"/>
                <w:sz w:val="24"/>
                <w:szCs w:val="24"/>
              </w:rPr>
              <w:t>¥</w:t>
            </w:r>
            <w:r>
              <w:rPr>
                <w:rFonts w:hint="eastAsia" w:ascii="仿宋" w:hAnsi="仿宋" w:eastAsia="仿宋" w:cs="宋体"/>
                <w:kern w:val="0"/>
                <w:sz w:val="24"/>
                <w:szCs w:val="24"/>
              </w:rPr>
              <w:t xml:space="preserve">            元</w:t>
            </w:r>
          </w:p>
          <w:p w14:paraId="4C36BF1E">
            <w:pPr>
              <w:snapToGrid w:val="0"/>
              <w:jc w:val="left"/>
              <w:rPr>
                <w:rFonts w:ascii="仿宋" w:hAnsi="仿宋" w:eastAsia="仿宋" w:cs="宋体"/>
                <w:kern w:val="0"/>
                <w:sz w:val="24"/>
                <w:szCs w:val="24"/>
              </w:rPr>
            </w:pPr>
          </w:p>
          <w:p w14:paraId="2CED1A98">
            <w:pPr>
              <w:snapToGrid w:val="0"/>
              <w:jc w:val="left"/>
              <w:rPr>
                <w:rFonts w:ascii="仿宋" w:hAnsi="仿宋" w:eastAsia="仿宋" w:cs="宋体"/>
                <w:kern w:val="0"/>
                <w:sz w:val="24"/>
                <w:szCs w:val="24"/>
              </w:rPr>
            </w:pPr>
            <w:r>
              <w:rPr>
                <w:rFonts w:ascii="仿宋" w:hAnsi="仿宋" w:eastAsia="仿宋" w:cs="宋体"/>
                <w:kern w:val="0"/>
                <w:sz w:val="24"/>
                <w:szCs w:val="24"/>
              </w:rPr>
              <w:t>签字</w:t>
            </w:r>
            <w:r>
              <w:rPr>
                <w:rFonts w:hint="eastAsia" w:ascii="仿宋" w:hAnsi="仿宋" w:eastAsia="仿宋" w:cs="宋体"/>
                <w:kern w:val="0"/>
                <w:sz w:val="24"/>
                <w:szCs w:val="24"/>
              </w:rPr>
              <w:t>：                                            年  月  日</w:t>
            </w:r>
          </w:p>
        </w:tc>
      </w:tr>
    </w:tbl>
    <w:p w14:paraId="387780B9">
      <w:pPr>
        <w:snapToGrid w:val="0"/>
        <w:ind w:right="560"/>
        <w:rPr>
          <w:rFonts w:ascii="仿宋" w:hAnsi="仿宋" w:eastAsia="仿宋"/>
          <w:sz w:val="24"/>
          <w:szCs w:val="24"/>
        </w:rPr>
      </w:pPr>
    </w:p>
    <w:p w14:paraId="10DB99A1">
      <w:pPr>
        <w:snapToGrid w:val="0"/>
        <w:ind w:right="-196"/>
        <w:rPr>
          <w:rFonts w:ascii="仿宋" w:hAnsi="仿宋" w:eastAsia="仿宋"/>
          <w:sz w:val="24"/>
          <w:szCs w:val="24"/>
          <w:u w:val="single"/>
        </w:rPr>
      </w:pPr>
      <w:r>
        <w:rPr>
          <w:rFonts w:hint="eastAsia" w:ascii="仿宋" w:hAnsi="仿宋" w:eastAsia="仿宋"/>
          <w:sz w:val="24"/>
          <w:szCs w:val="24"/>
        </w:rPr>
        <w:t>法定代表人或被授权人（签字）：</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单位名称：（加盖公章）：</w:t>
      </w:r>
      <w:r>
        <w:rPr>
          <w:rFonts w:ascii="仿宋" w:hAnsi="仿宋" w:eastAsia="仿宋"/>
          <w:sz w:val="24"/>
          <w:szCs w:val="24"/>
          <w:u w:val="single"/>
        </w:rPr>
        <w:t xml:space="preserve">            </w:t>
      </w:r>
    </w:p>
    <w:p w14:paraId="79F303F4">
      <w:pPr>
        <w:snapToGrid w:val="0"/>
        <w:ind w:firstLine="1560" w:firstLineChars="650"/>
        <w:jc w:val="right"/>
        <w:rPr>
          <w:rFonts w:ascii="仿宋" w:hAnsi="仿宋" w:eastAsia="仿宋"/>
          <w:sz w:val="24"/>
          <w:szCs w:val="24"/>
        </w:rPr>
      </w:pPr>
    </w:p>
    <w:p w14:paraId="3E03A564">
      <w:pPr>
        <w:snapToGrid w:val="0"/>
        <w:ind w:firstLine="1560" w:firstLineChars="650"/>
        <w:jc w:val="right"/>
        <w:rPr>
          <w:rFonts w:ascii="仿宋" w:hAnsi="仿宋" w:eastAsia="仿宋"/>
          <w:sz w:val="24"/>
          <w:szCs w:val="24"/>
        </w:rPr>
      </w:pP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p>
    <w:p w14:paraId="1C28808C">
      <w:pPr>
        <w:snapToGrid w:val="0"/>
        <w:rPr>
          <w:rFonts w:ascii="仿宋" w:hAnsi="仿宋" w:eastAsia="仿宋" w:cs="宋体"/>
          <w:sz w:val="24"/>
          <w:szCs w:val="24"/>
        </w:rPr>
      </w:pPr>
      <w:r>
        <w:rPr>
          <w:rFonts w:hint="eastAsia" w:ascii="仿宋" w:hAnsi="仿宋" w:eastAsia="仿宋" w:cs="宋体"/>
          <w:b/>
          <w:sz w:val="24"/>
          <w:szCs w:val="24"/>
        </w:rPr>
        <w:t>注</w:t>
      </w:r>
      <w:r>
        <w:rPr>
          <w:rFonts w:hint="eastAsia" w:ascii="仿宋" w:hAnsi="仿宋" w:eastAsia="仿宋" w:cs="宋体"/>
          <w:sz w:val="24"/>
          <w:szCs w:val="24"/>
        </w:rPr>
        <w:t>：</w:t>
      </w:r>
      <w:r>
        <w:rPr>
          <w:rFonts w:ascii="仿宋" w:hAnsi="仿宋" w:eastAsia="仿宋" w:cs="宋体"/>
          <w:sz w:val="24"/>
          <w:szCs w:val="24"/>
        </w:rPr>
        <w:t>1</w:t>
      </w:r>
      <w:r>
        <w:rPr>
          <w:rFonts w:hint="eastAsia" w:ascii="仿宋" w:hAnsi="仿宋" w:eastAsia="仿宋" w:cs="宋体"/>
          <w:sz w:val="24"/>
          <w:szCs w:val="24"/>
        </w:rPr>
        <w:t>、本表式不得自行改动。</w:t>
      </w:r>
    </w:p>
    <w:p w14:paraId="6E9E8033">
      <w:pPr>
        <w:snapToGrid w:val="0"/>
        <w:ind w:firstLine="480" w:firstLineChars="200"/>
        <w:rPr>
          <w:rFonts w:ascii="仿宋" w:hAnsi="仿宋" w:eastAsia="仿宋" w:cs="宋体"/>
          <w:sz w:val="24"/>
          <w:szCs w:val="24"/>
        </w:rPr>
      </w:pPr>
      <w:r>
        <w:rPr>
          <w:rFonts w:ascii="仿宋" w:hAnsi="仿宋" w:eastAsia="仿宋" w:cs="宋体"/>
          <w:sz w:val="24"/>
          <w:szCs w:val="24"/>
        </w:rPr>
        <w:t>2</w:t>
      </w:r>
      <w:r>
        <w:rPr>
          <w:rFonts w:hint="eastAsia" w:ascii="仿宋" w:hAnsi="仿宋" w:eastAsia="仿宋" w:cs="宋体"/>
          <w:sz w:val="24"/>
          <w:szCs w:val="24"/>
        </w:rPr>
        <w:t>、磋商总报价（以人民币计价）</w:t>
      </w:r>
      <w:r>
        <w:rPr>
          <w:rFonts w:hint="eastAsia" w:ascii="仿宋" w:hAnsi="仿宋" w:eastAsia="仿宋"/>
          <w:sz w:val="24"/>
          <w:szCs w:val="24"/>
        </w:rPr>
        <w:t>包含</w:t>
      </w:r>
      <w:r>
        <w:rPr>
          <w:rFonts w:ascii="仿宋" w:hAnsi="仿宋" w:eastAsia="仿宋"/>
          <w:sz w:val="24"/>
          <w:szCs w:val="24"/>
        </w:rPr>
        <w:t>(</w:t>
      </w:r>
      <w:r>
        <w:rPr>
          <w:rFonts w:hint="eastAsia" w:ascii="仿宋" w:hAnsi="仿宋" w:eastAsia="仿宋" w:cs="宋体"/>
          <w:sz w:val="24"/>
          <w:szCs w:val="24"/>
        </w:rPr>
        <w:t>人工工资、奖金、社保、加班费等费用）、材料费、专用设备及其备品、备件、易耗品耗材、专用工具费用、税费、保险、技术支持与培训、售后服务及相关劳务支出等工作所发生的全部费用以及供应商企业利润、税金和政策性文件规定、合同包含的所有风险及承诺完成本项目工作所需的一切费用。</w:t>
      </w:r>
    </w:p>
    <w:p w14:paraId="4D49404E">
      <w:pPr>
        <w:snapToGrid w:val="0"/>
        <w:ind w:firstLine="472" w:firstLineChars="196"/>
        <w:jc w:val="left"/>
        <w:rPr>
          <w:sz w:val="28"/>
          <w:szCs w:val="28"/>
        </w:rPr>
      </w:pPr>
      <w:r>
        <w:rPr>
          <w:rFonts w:ascii="仿宋" w:hAnsi="仿宋" w:eastAsia="仿宋" w:cs="宋体"/>
          <w:b/>
          <w:sz w:val="24"/>
          <w:szCs w:val="24"/>
        </w:rPr>
        <w:t>3</w:t>
      </w:r>
      <w:r>
        <w:rPr>
          <w:rFonts w:hint="eastAsia" w:ascii="仿宋" w:hAnsi="仿宋" w:eastAsia="仿宋" w:cs="宋体"/>
          <w:b/>
          <w:sz w:val="24"/>
          <w:szCs w:val="24"/>
        </w:rPr>
        <w:t>、第二轮报价将在开标现场填写。响应文件密封提交时只需填写第一轮报价。</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Helvetica">
    <w:panose1 w:val="020B0604020202020204"/>
    <w:charset w:val="00"/>
    <w:family w:val="swiss"/>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4773516"/>
      <w:docPartObj>
        <w:docPartGallery w:val="AutoText"/>
      </w:docPartObj>
    </w:sdtPr>
    <w:sdtContent>
      <w:p w14:paraId="16504558">
        <w:pPr>
          <w:pStyle w:val="10"/>
        </w:pPr>
        <w:r>
          <w:fldChar w:fldCharType="begin"/>
        </w:r>
        <w:r>
          <w:instrText xml:space="preserve"> PAGE   \* MERGEFORMAT </w:instrText>
        </w:r>
        <w:r>
          <w:fldChar w:fldCharType="separate"/>
        </w:r>
        <w:r>
          <w:rPr>
            <w:lang w:val="zh-CN"/>
          </w:rPr>
          <w:t>31</w:t>
        </w:r>
        <w:r>
          <w:rPr>
            <w:lang w:val="zh-CN"/>
          </w:rPr>
          <w:fldChar w:fldCharType="end"/>
        </w:r>
      </w:p>
    </w:sdtContent>
  </w:sdt>
  <w:p w14:paraId="50E462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54351">
    <w:pPr>
      <w:pStyle w:val="10"/>
      <w:jc w:val="center"/>
    </w:pPr>
    <w:r>
      <w:fldChar w:fldCharType="begin"/>
    </w:r>
    <w:r>
      <w:instrText xml:space="preserve"> PAGE   \* MERGEFORMAT </w:instrText>
    </w:r>
    <w:r>
      <w:fldChar w:fldCharType="separate"/>
    </w:r>
    <w:r>
      <w:rPr>
        <w:lang w:val="zh-CN"/>
      </w:rPr>
      <w:t>32</w:t>
    </w:r>
    <w:r>
      <w:rPr>
        <w:lang w:val="zh-CN"/>
      </w:rPr>
      <w:fldChar w:fldCharType="end"/>
    </w:r>
  </w:p>
  <w:p w14:paraId="715040D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5C76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0E721"/>
    <w:multiLevelType w:val="singleLevel"/>
    <w:tmpl w:val="8E80E721"/>
    <w:lvl w:ilvl="0" w:tentative="0">
      <w:start w:val="1"/>
      <w:numFmt w:val="chineseCounting"/>
      <w:suff w:val="nothing"/>
      <w:lvlText w:val="（%1）"/>
      <w:lvlJc w:val="left"/>
      <w:rPr>
        <w:rFonts w:hint="eastAsia" w:cs="Times New Roman"/>
      </w:rPr>
    </w:lvl>
  </w:abstractNum>
  <w:abstractNum w:abstractNumId="1">
    <w:nsid w:val="A9CA0CD3"/>
    <w:multiLevelType w:val="singleLevel"/>
    <w:tmpl w:val="A9CA0CD3"/>
    <w:lvl w:ilvl="0" w:tentative="0">
      <w:start w:val="7"/>
      <w:numFmt w:val="chineseCounting"/>
      <w:suff w:val="nothing"/>
      <w:lvlText w:val="%1、"/>
      <w:lvlJc w:val="left"/>
      <w:rPr>
        <w:rFonts w:hint="eastAsia"/>
      </w:rPr>
    </w:lvl>
  </w:abstractNum>
  <w:abstractNum w:abstractNumId="2">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1B6A046D"/>
    <w:rsid w:val="000949AE"/>
    <w:rsid w:val="00166153"/>
    <w:rsid w:val="002521B8"/>
    <w:rsid w:val="00253886"/>
    <w:rsid w:val="002760C3"/>
    <w:rsid w:val="002E5736"/>
    <w:rsid w:val="00344984"/>
    <w:rsid w:val="0039555C"/>
    <w:rsid w:val="00532C5A"/>
    <w:rsid w:val="00541362"/>
    <w:rsid w:val="0054197D"/>
    <w:rsid w:val="0056454B"/>
    <w:rsid w:val="00587A78"/>
    <w:rsid w:val="005A2F42"/>
    <w:rsid w:val="005C51B5"/>
    <w:rsid w:val="00692C3C"/>
    <w:rsid w:val="006B0311"/>
    <w:rsid w:val="006E06BB"/>
    <w:rsid w:val="00787F8B"/>
    <w:rsid w:val="00794863"/>
    <w:rsid w:val="007F05BE"/>
    <w:rsid w:val="008814E2"/>
    <w:rsid w:val="008A71C1"/>
    <w:rsid w:val="008B706D"/>
    <w:rsid w:val="008C63B7"/>
    <w:rsid w:val="00964B45"/>
    <w:rsid w:val="009B7513"/>
    <w:rsid w:val="00B50621"/>
    <w:rsid w:val="00B55A19"/>
    <w:rsid w:val="00B56F4F"/>
    <w:rsid w:val="00B73879"/>
    <w:rsid w:val="00CE1CA1"/>
    <w:rsid w:val="00CE564D"/>
    <w:rsid w:val="00D44452"/>
    <w:rsid w:val="00DF1802"/>
    <w:rsid w:val="00E941B4"/>
    <w:rsid w:val="00E97AC0"/>
    <w:rsid w:val="00ED7B7F"/>
    <w:rsid w:val="00EF164E"/>
    <w:rsid w:val="00EF3580"/>
    <w:rsid w:val="00F06F2B"/>
    <w:rsid w:val="012A60C1"/>
    <w:rsid w:val="01340DC4"/>
    <w:rsid w:val="01C01659"/>
    <w:rsid w:val="01D46512"/>
    <w:rsid w:val="01D8129C"/>
    <w:rsid w:val="02BD1C2B"/>
    <w:rsid w:val="044D4A70"/>
    <w:rsid w:val="05C02558"/>
    <w:rsid w:val="060A0E26"/>
    <w:rsid w:val="067D7287"/>
    <w:rsid w:val="072B513F"/>
    <w:rsid w:val="07AD4922"/>
    <w:rsid w:val="08CA7BB8"/>
    <w:rsid w:val="08E3748A"/>
    <w:rsid w:val="09314C02"/>
    <w:rsid w:val="09387279"/>
    <w:rsid w:val="09473FAA"/>
    <w:rsid w:val="0B453BEA"/>
    <w:rsid w:val="0BA22278"/>
    <w:rsid w:val="0BA462FD"/>
    <w:rsid w:val="0BED3746"/>
    <w:rsid w:val="0CA706FF"/>
    <w:rsid w:val="0CB83ABE"/>
    <w:rsid w:val="0CFA25D0"/>
    <w:rsid w:val="0DCC2A12"/>
    <w:rsid w:val="0E0D4052"/>
    <w:rsid w:val="0E4E29AE"/>
    <w:rsid w:val="0F543326"/>
    <w:rsid w:val="0F9A269D"/>
    <w:rsid w:val="0FBF4B26"/>
    <w:rsid w:val="0FC715C6"/>
    <w:rsid w:val="11866198"/>
    <w:rsid w:val="12900D78"/>
    <w:rsid w:val="12D61F76"/>
    <w:rsid w:val="134D0BB0"/>
    <w:rsid w:val="13CC0A91"/>
    <w:rsid w:val="146F2EAD"/>
    <w:rsid w:val="15296870"/>
    <w:rsid w:val="158E3976"/>
    <w:rsid w:val="16477F68"/>
    <w:rsid w:val="169D1A0A"/>
    <w:rsid w:val="17756F48"/>
    <w:rsid w:val="178A762E"/>
    <w:rsid w:val="17B73D4B"/>
    <w:rsid w:val="182777F8"/>
    <w:rsid w:val="1864455A"/>
    <w:rsid w:val="18D8688C"/>
    <w:rsid w:val="19327EE3"/>
    <w:rsid w:val="19596AC4"/>
    <w:rsid w:val="19DC66F8"/>
    <w:rsid w:val="1A05035B"/>
    <w:rsid w:val="1A490F95"/>
    <w:rsid w:val="1B094A1B"/>
    <w:rsid w:val="1B6A046D"/>
    <w:rsid w:val="1C39617F"/>
    <w:rsid w:val="1CB32104"/>
    <w:rsid w:val="1CCC5B46"/>
    <w:rsid w:val="1D040257"/>
    <w:rsid w:val="1D2548BB"/>
    <w:rsid w:val="1D981CA2"/>
    <w:rsid w:val="1DBD0585"/>
    <w:rsid w:val="1E94201A"/>
    <w:rsid w:val="1F5A73AA"/>
    <w:rsid w:val="21554905"/>
    <w:rsid w:val="216E3FAF"/>
    <w:rsid w:val="2212772F"/>
    <w:rsid w:val="2287171A"/>
    <w:rsid w:val="23162B45"/>
    <w:rsid w:val="231D491C"/>
    <w:rsid w:val="23CD17CA"/>
    <w:rsid w:val="24E41B12"/>
    <w:rsid w:val="274205E2"/>
    <w:rsid w:val="27833F76"/>
    <w:rsid w:val="27926895"/>
    <w:rsid w:val="279422DD"/>
    <w:rsid w:val="279946D4"/>
    <w:rsid w:val="27F439CE"/>
    <w:rsid w:val="290332AE"/>
    <w:rsid w:val="291054F2"/>
    <w:rsid w:val="29504ED8"/>
    <w:rsid w:val="2AAD04D7"/>
    <w:rsid w:val="2B4D6870"/>
    <w:rsid w:val="2BDA74F4"/>
    <w:rsid w:val="2C2C1D00"/>
    <w:rsid w:val="2C7C3AC4"/>
    <w:rsid w:val="2C8172DE"/>
    <w:rsid w:val="2CE22F82"/>
    <w:rsid w:val="2D3F6785"/>
    <w:rsid w:val="2DAA1451"/>
    <w:rsid w:val="2E090DFE"/>
    <w:rsid w:val="2E507AB6"/>
    <w:rsid w:val="2F257F3A"/>
    <w:rsid w:val="2F4E6682"/>
    <w:rsid w:val="309419E6"/>
    <w:rsid w:val="3143278E"/>
    <w:rsid w:val="31553019"/>
    <w:rsid w:val="31CD2E8D"/>
    <w:rsid w:val="3230198F"/>
    <w:rsid w:val="325C5B76"/>
    <w:rsid w:val="3271323C"/>
    <w:rsid w:val="3308630E"/>
    <w:rsid w:val="33183626"/>
    <w:rsid w:val="33D02927"/>
    <w:rsid w:val="34035BC9"/>
    <w:rsid w:val="34694F19"/>
    <w:rsid w:val="367E4777"/>
    <w:rsid w:val="36E13833"/>
    <w:rsid w:val="37587BEF"/>
    <w:rsid w:val="37A67EF5"/>
    <w:rsid w:val="37C81447"/>
    <w:rsid w:val="386B4633"/>
    <w:rsid w:val="38FB5F90"/>
    <w:rsid w:val="3AAE1524"/>
    <w:rsid w:val="3AFA1DDC"/>
    <w:rsid w:val="3B9F0690"/>
    <w:rsid w:val="3C083B7F"/>
    <w:rsid w:val="3CBB6537"/>
    <w:rsid w:val="3CC270CD"/>
    <w:rsid w:val="3D5934C0"/>
    <w:rsid w:val="3DC80816"/>
    <w:rsid w:val="3E6A0489"/>
    <w:rsid w:val="3E6D7FCA"/>
    <w:rsid w:val="3E974AE1"/>
    <w:rsid w:val="3EC52C88"/>
    <w:rsid w:val="3ECD4218"/>
    <w:rsid w:val="3F430994"/>
    <w:rsid w:val="3FCD4133"/>
    <w:rsid w:val="40201F1B"/>
    <w:rsid w:val="402D4BD8"/>
    <w:rsid w:val="40376A33"/>
    <w:rsid w:val="405F5659"/>
    <w:rsid w:val="406B026B"/>
    <w:rsid w:val="40BF5389"/>
    <w:rsid w:val="40DF36F1"/>
    <w:rsid w:val="41596272"/>
    <w:rsid w:val="4167310F"/>
    <w:rsid w:val="41D54716"/>
    <w:rsid w:val="423D1A3C"/>
    <w:rsid w:val="424237D6"/>
    <w:rsid w:val="42BB7C55"/>
    <w:rsid w:val="42D522A4"/>
    <w:rsid w:val="42DD5815"/>
    <w:rsid w:val="436C11F8"/>
    <w:rsid w:val="43DC1FC7"/>
    <w:rsid w:val="447618E2"/>
    <w:rsid w:val="45356F3C"/>
    <w:rsid w:val="46476935"/>
    <w:rsid w:val="46C837E8"/>
    <w:rsid w:val="46C96CB7"/>
    <w:rsid w:val="47B65343"/>
    <w:rsid w:val="4821762E"/>
    <w:rsid w:val="485E3CE7"/>
    <w:rsid w:val="495B3134"/>
    <w:rsid w:val="49ED2A7C"/>
    <w:rsid w:val="4A2B523F"/>
    <w:rsid w:val="4A9D7EDF"/>
    <w:rsid w:val="4AA13C61"/>
    <w:rsid w:val="4AE74E83"/>
    <w:rsid w:val="4B01048B"/>
    <w:rsid w:val="4B4516AF"/>
    <w:rsid w:val="4B9F2C67"/>
    <w:rsid w:val="4BE02095"/>
    <w:rsid w:val="4BE81C31"/>
    <w:rsid w:val="4BFE73D2"/>
    <w:rsid w:val="4C234D9B"/>
    <w:rsid w:val="4C8B10CF"/>
    <w:rsid w:val="4F2A6021"/>
    <w:rsid w:val="4F7C5541"/>
    <w:rsid w:val="50083134"/>
    <w:rsid w:val="50263CB2"/>
    <w:rsid w:val="516D1D92"/>
    <w:rsid w:val="52DA4342"/>
    <w:rsid w:val="53E674BA"/>
    <w:rsid w:val="540129AF"/>
    <w:rsid w:val="540A0404"/>
    <w:rsid w:val="54546813"/>
    <w:rsid w:val="566B57AC"/>
    <w:rsid w:val="56C44CF7"/>
    <w:rsid w:val="56C67157"/>
    <w:rsid w:val="56EE7C1E"/>
    <w:rsid w:val="57416F28"/>
    <w:rsid w:val="58173C65"/>
    <w:rsid w:val="58AA6F20"/>
    <w:rsid w:val="58CE1A1F"/>
    <w:rsid w:val="5941769C"/>
    <w:rsid w:val="59AA604F"/>
    <w:rsid w:val="5A092050"/>
    <w:rsid w:val="5A454DE3"/>
    <w:rsid w:val="5A6807EF"/>
    <w:rsid w:val="5ADB5630"/>
    <w:rsid w:val="5AED2772"/>
    <w:rsid w:val="5CDE3A6A"/>
    <w:rsid w:val="5D0E243A"/>
    <w:rsid w:val="5DE04584"/>
    <w:rsid w:val="5F253F76"/>
    <w:rsid w:val="60055301"/>
    <w:rsid w:val="602F75FF"/>
    <w:rsid w:val="608709C2"/>
    <w:rsid w:val="609510CF"/>
    <w:rsid w:val="609974A4"/>
    <w:rsid w:val="60D743C5"/>
    <w:rsid w:val="612A1E6F"/>
    <w:rsid w:val="614D5EC0"/>
    <w:rsid w:val="621904E4"/>
    <w:rsid w:val="63D66FEF"/>
    <w:rsid w:val="64B03B7E"/>
    <w:rsid w:val="64C042A4"/>
    <w:rsid w:val="64CE6D73"/>
    <w:rsid w:val="655F1F05"/>
    <w:rsid w:val="659367E7"/>
    <w:rsid w:val="66BA4E46"/>
    <w:rsid w:val="66E41684"/>
    <w:rsid w:val="67BA15A9"/>
    <w:rsid w:val="684002B0"/>
    <w:rsid w:val="686E3E6D"/>
    <w:rsid w:val="68EA3125"/>
    <w:rsid w:val="69BA704F"/>
    <w:rsid w:val="6A0F0FDF"/>
    <w:rsid w:val="6A8A169B"/>
    <w:rsid w:val="6AAA7ED7"/>
    <w:rsid w:val="6BD52C49"/>
    <w:rsid w:val="6BE57F4E"/>
    <w:rsid w:val="6BF470AB"/>
    <w:rsid w:val="6CC616B9"/>
    <w:rsid w:val="6DAC7EA5"/>
    <w:rsid w:val="6DEF76BC"/>
    <w:rsid w:val="6E162F42"/>
    <w:rsid w:val="6E6345AF"/>
    <w:rsid w:val="6E91195D"/>
    <w:rsid w:val="6EF439AE"/>
    <w:rsid w:val="707976FA"/>
    <w:rsid w:val="71324FDA"/>
    <w:rsid w:val="71505A26"/>
    <w:rsid w:val="72243B73"/>
    <w:rsid w:val="73052648"/>
    <w:rsid w:val="73352C97"/>
    <w:rsid w:val="733C3D77"/>
    <w:rsid w:val="73464D22"/>
    <w:rsid w:val="74596473"/>
    <w:rsid w:val="74E67FEB"/>
    <w:rsid w:val="75516FCD"/>
    <w:rsid w:val="755C6EF6"/>
    <w:rsid w:val="75864A5F"/>
    <w:rsid w:val="759C48FC"/>
    <w:rsid w:val="76DE75BD"/>
    <w:rsid w:val="775D4C8D"/>
    <w:rsid w:val="78172E76"/>
    <w:rsid w:val="78CE357F"/>
    <w:rsid w:val="790D3228"/>
    <w:rsid w:val="79425F76"/>
    <w:rsid w:val="7A655763"/>
    <w:rsid w:val="7A677A9E"/>
    <w:rsid w:val="7A73076D"/>
    <w:rsid w:val="7A803B70"/>
    <w:rsid w:val="7AA05D23"/>
    <w:rsid w:val="7AC84E4E"/>
    <w:rsid w:val="7B3408DF"/>
    <w:rsid w:val="7B3A7293"/>
    <w:rsid w:val="7B906231"/>
    <w:rsid w:val="7BCE1B7D"/>
    <w:rsid w:val="7BE24CB7"/>
    <w:rsid w:val="7C5D6B8A"/>
    <w:rsid w:val="7CFB4005"/>
    <w:rsid w:val="7D043E8C"/>
    <w:rsid w:val="7D09082B"/>
    <w:rsid w:val="7E8C795F"/>
    <w:rsid w:val="7EB4188B"/>
    <w:rsid w:val="7F09361F"/>
    <w:rsid w:val="7F856934"/>
    <w:rsid w:val="7FC91B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2"/>
    <w:basedOn w:val="1"/>
    <w:next w:val="1"/>
    <w:link w:val="19"/>
    <w:qFormat/>
    <w:uiPriority w:val="99"/>
    <w:pPr>
      <w:spacing w:beforeAutospacing="1" w:afterAutospacing="1"/>
      <w:jc w:val="left"/>
      <w:outlineLvl w:val="1"/>
    </w:pPr>
    <w:rPr>
      <w:rFonts w:ascii="宋体" w:hAnsi="宋体" w:eastAsia="宋体"/>
      <w:b/>
      <w:kern w:val="0"/>
      <w:sz w:val="36"/>
      <w:szCs w:val="36"/>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99"/>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styleId="4">
    <w:name w:val="Normal Indent"/>
    <w:basedOn w:val="1"/>
    <w:link w:val="34"/>
    <w:qFormat/>
    <w:uiPriority w:val="0"/>
    <w:pPr>
      <w:ind w:firstLine="420"/>
    </w:pPr>
  </w:style>
  <w:style w:type="paragraph" w:styleId="5">
    <w:name w:val="Body Text Indent"/>
    <w:basedOn w:val="1"/>
    <w:next w:val="6"/>
    <w:link w:val="20"/>
    <w:qFormat/>
    <w:uiPriority w:val="99"/>
    <w:pPr>
      <w:spacing w:after="156"/>
      <w:ind w:firstLine="480"/>
    </w:pPr>
    <w:rPr>
      <w:sz w:val="24"/>
    </w:rPr>
  </w:style>
  <w:style w:type="paragraph" w:styleId="6">
    <w:name w:val="envelope return"/>
    <w:basedOn w:val="1"/>
    <w:qFormat/>
    <w:uiPriority w:val="99"/>
    <w:pPr>
      <w:snapToGrid w:val="0"/>
    </w:pPr>
    <w:rPr>
      <w:rFonts w:ascii="Arial" w:hAnsi="Arial"/>
    </w:rPr>
  </w:style>
  <w:style w:type="paragraph" w:styleId="7">
    <w:name w:val="Plain Text"/>
    <w:basedOn w:val="1"/>
    <w:link w:val="21"/>
    <w:qFormat/>
    <w:uiPriority w:val="99"/>
    <w:rPr>
      <w:rFonts w:ascii="宋体" w:hAnsi="Courier New" w:cs="Courier New"/>
      <w:szCs w:val="21"/>
    </w:rPr>
  </w:style>
  <w:style w:type="paragraph" w:styleId="8">
    <w:name w:val="Body Text Indent 2"/>
    <w:basedOn w:val="1"/>
    <w:link w:val="22"/>
    <w:qFormat/>
    <w:uiPriority w:val="99"/>
    <w:pPr>
      <w:spacing w:after="120" w:line="480" w:lineRule="auto"/>
      <w:ind w:left="420" w:leftChars="200"/>
    </w:pPr>
  </w:style>
  <w:style w:type="paragraph" w:styleId="9">
    <w:name w:val="Balloon Text"/>
    <w:basedOn w:val="1"/>
    <w:link w:val="31"/>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sz w:val="18"/>
    </w:rPr>
  </w:style>
  <w:style w:type="paragraph" w:styleId="11">
    <w:name w:val="header"/>
    <w:basedOn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semiHidden/>
    <w:unhideWhenUsed/>
    <w:locked/>
    <w:uiPriority w:val="39"/>
  </w:style>
  <w:style w:type="paragraph" w:styleId="13">
    <w:name w:val="Normal (Web)"/>
    <w:basedOn w:val="1"/>
    <w:qFormat/>
    <w:locked/>
    <w:uiPriority w:val="0"/>
    <w:pPr>
      <w:spacing w:beforeAutospacing="1" w:afterAutospacing="1"/>
      <w:jc w:val="left"/>
    </w:pPr>
    <w:rPr>
      <w:kern w:val="0"/>
      <w:sz w:val="24"/>
    </w:rPr>
  </w:style>
  <w:style w:type="paragraph" w:styleId="14">
    <w:name w:val="Body Text First Indent 2"/>
    <w:basedOn w:val="5"/>
    <w:link w:val="25"/>
    <w:qFormat/>
    <w:uiPriority w:val="99"/>
    <w:pPr>
      <w:ind w:firstLine="420" w:firstLineChars="200"/>
    </w:pPr>
  </w:style>
  <w:style w:type="character" w:styleId="17">
    <w:name w:val="Strong"/>
    <w:basedOn w:val="16"/>
    <w:qFormat/>
    <w:locked/>
    <w:uiPriority w:val="0"/>
    <w:rPr>
      <w:b/>
    </w:rPr>
  </w:style>
  <w:style w:type="character" w:styleId="18">
    <w:name w:val="Hyperlink"/>
    <w:basedOn w:val="16"/>
    <w:qFormat/>
    <w:uiPriority w:val="99"/>
    <w:rPr>
      <w:rFonts w:cs="Times New Roman"/>
      <w:color w:val="0000FF"/>
      <w:u w:val="single"/>
    </w:rPr>
  </w:style>
  <w:style w:type="character" w:customStyle="1" w:styleId="19">
    <w:name w:val="标题 2 Char"/>
    <w:basedOn w:val="16"/>
    <w:link w:val="3"/>
    <w:semiHidden/>
    <w:qFormat/>
    <w:locked/>
    <w:uiPriority w:val="99"/>
    <w:rPr>
      <w:rFonts w:ascii="Cambria" w:hAnsi="Cambria" w:eastAsia="宋体" w:cs="Times New Roman"/>
      <w:b/>
      <w:bCs/>
      <w:sz w:val="32"/>
      <w:szCs w:val="32"/>
    </w:rPr>
  </w:style>
  <w:style w:type="character" w:customStyle="1" w:styleId="20">
    <w:name w:val="正文文本缩进 Char"/>
    <w:basedOn w:val="16"/>
    <w:link w:val="5"/>
    <w:semiHidden/>
    <w:qFormat/>
    <w:locked/>
    <w:uiPriority w:val="99"/>
    <w:rPr>
      <w:rFonts w:ascii="Times New Roman" w:hAnsi="Times New Roman" w:eastAsia="楷体_GB2312" w:cs="Times New Roman"/>
      <w:sz w:val="20"/>
      <w:szCs w:val="20"/>
    </w:rPr>
  </w:style>
  <w:style w:type="character" w:customStyle="1" w:styleId="21">
    <w:name w:val="纯文本 Char"/>
    <w:basedOn w:val="16"/>
    <w:link w:val="7"/>
    <w:qFormat/>
    <w:locked/>
    <w:uiPriority w:val="99"/>
    <w:rPr>
      <w:rFonts w:ascii="宋体" w:hAnsi="Courier New" w:cs="Courier New"/>
      <w:sz w:val="21"/>
      <w:szCs w:val="21"/>
    </w:rPr>
  </w:style>
  <w:style w:type="character" w:customStyle="1" w:styleId="22">
    <w:name w:val="正文文本缩进 2 Char"/>
    <w:basedOn w:val="16"/>
    <w:link w:val="8"/>
    <w:semiHidden/>
    <w:qFormat/>
    <w:locked/>
    <w:uiPriority w:val="99"/>
    <w:rPr>
      <w:rFonts w:ascii="Times New Roman" w:hAnsi="Times New Roman" w:eastAsia="楷体_GB2312" w:cs="Times New Roman"/>
      <w:sz w:val="20"/>
      <w:szCs w:val="20"/>
    </w:rPr>
  </w:style>
  <w:style w:type="character" w:customStyle="1" w:styleId="23">
    <w:name w:val="页脚 Char"/>
    <w:basedOn w:val="16"/>
    <w:link w:val="10"/>
    <w:qFormat/>
    <w:locked/>
    <w:uiPriority w:val="99"/>
    <w:rPr>
      <w:rFonts w:ascii="Times New Roman" w:hAnsi="Times New Roman" w:eastAsia="楷体_GB2312" w:cs="Times New Roman"/>
      <w:sz w:val="18"/>
      <w:szCs w:val="18"/>
    </w:rPr>
  </w:style>
  <w:style w:type="character" w:customStyle="1" w:styleId="24">
    <w:name w:val="页眉 Char"/>
    <w:basedOn w:val="16"/>
    <w:link w:val="11"/>
    <w:semiHidden/>
    <w:qFormat/>
    <w:locked/>
    <w:uiPriority w:val="99"/>
    <w:rPr>
      <w:rFonts w:ascii="Times New Roman" w:hAnsi="Times New Roman" w:eastAsia="楷体_GB2312" w:cs="Times New Roman"/>
      <w:sz w:val="18"/>
      <w:szCs w:val="18"/>
    </w:rPr>
  </w:style>
  <w:style w:type="character" w:customStyle="1" w:styleId="25">
    <w:name w:val="正文首行缩进 2 Char"/>
    <w:basedOn w:val="20"/>
    <w:link w:val="14"/>
    <w:semiHidden/>
    <w:qFormat/>
    <w:locked/>
    <w:uiPriority w:val="99"/>
  </w:style>
  <w:style w:type="paragraph" w:customStyle="1" w:styleId="26">
    <w:name w:val="章正文"/>
    <w:basedOn w:val="1"/>
    <w:qFormat/>
    <w:uiPriority w:val="99"/>
    <w:pPr>
      <w:spacing w:beforeLines="50" w:after="120" w:line="300" w:lineRule="auto"/>
      <w:ind w:firstLine="480"/>
    </w:pPr>
    <w:rPr>
      <w:rFonts w:ascii="Helvetica" w:hAnsi="Helvetica"/>
      <w:kern w:val="0"/>
      <w:sz w:val="24"/>
    </w:rPr>
  </w:style>
  <w:style w:type="paragraph" w:styleId="27">
    <w:name w:val="List Paragraph"/>
    <w:basedOn w:val="1"/>
    <w:qFormat/>
    <w:uiPriority w:val="99"/>
    <w:pPr>
      <w:ind w:firstLine="420" w:firstLineChars="200"/>
    </w:pPr>
    <w:rPr>
      <w:szCs w:val="24"/>
    </w:rPr>
  </w:style>
  <w:style w:type="paragraph" w:customStyle="1" w:styleId="28">
    <w:name w:val="正文缩进2格"/>
    <w:basedOn w:val="1"/>
    <w:qFormat/>
    <w:uiPriority w:val="99"/>
    <w:pPr>
      <w:spacing w:line="600" w:lineRule="exact"/>
      <w:ind w:firstLine="639" w:firstLineChars="206"/>
    </w:pPr>
    <w:rPr>
      <w:rFonts w:ascii="仿宋_GB2312" w:hAnsi="宋体" w:eastAsia="仿宋_GB2312"/>
      <w:kern w:val="0"/>
      <w:sz w:val="31"/>
      <w:szCs w:val="28"/>
    </w:rPr>
  </w:style>
  <w:style w:type="paragraph" w:customStyle="1" w:styleId="29">
    <w:name w:val="msonormalcxspmiddle"/>
    <w:basedOn w:val="1"/>
    <w:qFormat/>
    <w:uiPriority w:val="99"/>
    <w:pPr>
      <w:widowControl/>
      <w:spacing w:before="100" w:beforeAutospacing="1" w:after="100" w:afterAutospacing="1"/>
      <w:jc w:val="left"/>
    </w:pPr>
    <w:rPr>
      <w:rFonts w:ascii="宋体" w:hAnsi="宋体" w:cs="宋体"/>
      <w:kern w:val="0"/>
      <w:sz w:val="24"/>
    </w:rPr>
  </w:style>
  <w:style w:type="paragraph" w:customStyle="1" w:styleId="30">
    <w:name w:val="WPSOffice手动目录 1"/>
    <w:qFormat/>
    <w:uiPriority w:val="99"/>
    <w:rPr>
      <w:rFonts w:ascii="Times New Roman" w:hAnsi="Times New Roman" w:eastAsia="宋体" w:cs="Times New Roman"/>
      <w:lang w:val="en-US" w:eastAsia="zh-CN" w:bidi="ar-SA"/>
    </w:rPr>
  </w:style>
  <w:style w:type="character" w:customStyle="1" w:styleId="31">
    <w:name w:val="批注框文本 Char"/>
    <w:basedOn w:val="16"/>
    <w:link w:val="9"/>
    <w:qFormat/>
    <w:locked/>
    <w:uiPriority w:val="99"/>
    <w:rPr>
      <w:rFonts w:ascii="Times New Roman" w:hAnsi="Times New Roman" w:eastAsia="楷体_GB2312" w:cs="Times New Roman"/>
      <w:kern w:val="2"/>
      <w:sz w:val="18"/>
      <w:szCs w:val="18"/>
    </w:rPr>
  </w:style>
  <w:style w:type="paragraph" w:customStyle="1" w:styleId="32">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character" w:customStyle="1" w:styleId="33">
    <w:name w:val="纯文本 Char1"/>
    <w:semiHidden/>
    <w:qFormat/>
    <w:locked/>
    <w:uiPriority w:val="99"/>
    <w:rPr>
      <w:rFonts w:ascii="宋体" w:hAnsi="Courier New" w:eastAsia="宋体" w:cs="Times New Roman"/>
      <w:szCs w:val="20"/>
    </w:rPr>
  </w:style>
  <w:style w:type="character" w:customStyle="1" w:styleId="34">
    <w:name w:val="正文缩进 Char"/>
    <w:link w:val="4"/>
    <w:qFormat/>
    <w:uiPriority w:val="0"/>
    <w:rPr>
      <w:rFonts w:eastAsia="楷体_GB2312"/>
      <w:kern w:val="2"/>
      <w:sz w:val="26"/>
    </w:rPr>
  </w:style>
  <w:style w:type="paragraph" w:customStyle="1" w:styleId="35">
    <w:name w:val="Char"/>
    <w:basedOn w:val="1"/>
    <w:qFormat/>
    <w:uiPriority w:val="0"/>
    <w:pPr>
      <w:tabs>
        <w:tab w:val="left" w:pos="360"/>
      </w:tabs>
    </w:pPr>
    <w:rPr>
      <w:rFonts w:eastAsia="宋体"/>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12343</Words>
  <Characters>12753</Characters>
  <Lines>193</Lines>
  <Paragraphs>54</Paragraphs>
  <TotalTime>65</TotalTime>
  <ScaleCrop>false</ScaleCrop>
  <LinksUpToDate>false</LinksUpToDate>
  <CharactersWithSpaces>14079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2019-08-03T01:55:00Z</dcterms:created>
  <dc:creator>pc</dc:creator>
  <cp:lastModifiedBy>丁香一样的</cp:lastModifiedBy>
  <dcterms:modified xsi:type="dcterms:W3CDTF">2025-11-18T02:29:56Z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eyJoZGlkIjoiYjc2YzI4Y2E3YjQ2OTUxZDQ1OTkzZjcwNjZjMDg1OTAiLCJ1c2VySWQiOiIyNzIyNDM5MzEifQ==</vt:lpwstr>
  </property>
  <property fmtid="{D5CDD505-2E9C-101B-9397-08002B2CF9AE}" pid="4" name="ICV">
    <vt:lpwstr>B5BC583B25B34AF2A538C24C16698CA5_12</vt:lpwstr>
  </property>
</Properties>
</file>